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spacing w:line="600" w:lineRule="exact"/>
        <w:outlineLvl w:val="0"/>
        <w:rPr>
          <w:rFonts w:hint="default" w:eastAsia="黑体" w:cs="Times New Roman"/>
          <w:lang w:val="en-US"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仿宋_GB2312" w:hAnsi="Calibri" w:cs="Times New Roman"/>
          <w:kern w:val="2"/>
          <w:sz w:val="32"/>
          <w:szCs w:val="32"/>
          <w:lang w:val="en-US" w:eastAsia="zh-CN" w:bidi="ar-SA"/>
        </w:rPr>
        <w:t>1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ind w:leftChars="20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数字化中心简介</w:t>
      </w:r>
    </w:p>
    <w:p>
      <w:pPr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/>
          <w:lang w:val="en-US" w:eastAsia="zh-CN"/>
        </w:rPr>
        <w:t>国家电投数字化管理中心（简称“数字化中心”）是总部部门级服务保障中心，归口管理集团公司数字化工作，推进数字化转型，以“建体系、编规划、管架构、汇数据、强应用、保安全”为核心价值。负责编制集团公司数字化规划和转型总体方案，建设集团公司数据资产体系，归口数据管理；推进管理数字化和产业数字化应用开发和建设，牵头搭</w:t>
      </w:r>
      <w:bookmarkStart w:id="0" w:name="_GoBack"/>
      <w:bookmarkEnd w:id="0"/>
      <w:r>
        <w:rPr>
          <w:rFonts w:hint="eastAsia"/>
          <w:lang w:val="en-US" w:eastAsia="zh-CN"/>
        </w:rPr>
        <w:t>建集团公司网络安全保障体系和集团公司数字化基础平台，负责数字化生态体系建设，负责数字化转型领导小组办公室、网络安全和信息化领导小组办公室的日常工作等。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E9499B"/>
    <w:rsid w:val="32295FD3"/>
    <w:rsid w:val="35036053"/>
    <w:rsid w:val="4D58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ZT</dc:creator>
  <cp:lastModifiedBy>ZT</cp:lastModifiedBy>
  <dcterms:modified xsi:type="dcterms:W3CDTF">2021-01-23T04:27:09Z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