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EE492">
      <w:pPr>
        <w:jc w:val="center"/>
        <w:rPr>
          <w:rFonts w:ascii="方正小标宋简体" w:hAnsi="Arial" w:eastAsia="方正小标宋简体" w:cs="Arial"/>
          <w:color w:val="000000"/>
          <w:sz w:val="44"/>
          <w:szCs w:val="44"/>
          <w:u w:color="000000"/>
        </w:rPr>
      </w:pPr>
      <w:r>
        <w:rPr>
          <w:rFonts w:hint="eastAsia" w:ascii="方正小标宋简体" w:hAnsi="Arial" w:eastAsia="方正小标宋简体" w:cs="Arial"/>
          <w:color w:val="000000"/>
          <w:sz w:val="44"/>
          <w:szCs w:val="44"/>
          <w:u w:color="000000"/>
        </w:rPr>
        <w:t>2</w:t>
      </w:r>
      <w:r>
        <w:rPr>
          <w:rFonts w:ascii="方正小标宋简体" w:hAnsi="Arial" w:eastAsia="方正小标宋简体" w:cs="Arial"/>
          <w:color w:val="000000"/>
          <w:sz w:val="44"/>
          <w:szCs w:val="44"/>
          <w:u w:color="000000"/>
        </w:rPr>
        <w:t>026</w:t>
      </w:r>
      <w:r>
        <w:rPr>
          <w:rFonts w:hint="eastAsia" w:ascii="方正小标宋简体" w:hAnsi="Arial" w:eastAsia="方正小标宋简体" w:cs="Arial"/>
          <w:color w:val="000000"/>
          <w:sz w:val="44"/>
          <w:szCs w:val="44"/>
          <w:u w:color="000000"/>
        </w:rPr>
        <w:t>年度中国重燃开放项目指南</w:t>
      </w:r>
    </w:p>
    <w:p w14:paraId="39591A4F">
      <w:pPr>
        <w:rPr>
          <w:sz w:val="30"/>
          <w:szCs w:val="30"/>
        </w:rPr>
      </w:pPr>
    </w:p>
    <w:p w14:paraId="1B0D22B9">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1</w:t>
      </w:r>
      <w:r>
        <w:rPr>
          <w:rFonts w:ascii="Times New Roman" w:hAnsi="Times New Roman" w:eastAsia="黑体" w:cs="Times New Roman"/>
          <w:sz w:val="30"/>
          <w:szCs w:val="30"/>
        </w:rPr>
        <w:t>.</w:t>
      </w:r>
      <w:r>
        <w:rPr>
          <w:rFonts w:hint="eastAsia" w:ascii="Times New Roman" w:hAnsi="Times New Roman" w:eastAsia="黑体" w:cs="Times New Roman"/>
          <w:sz w:val="30"/>
          <w:szCs w:val="30"/>
        </w:rPr>
        <w:t>面向零碳燃气轮机的氨微裂解燃烧机理研究</w:t>
      </w:r>
    </w:p>
    <w:p w14:paraId="3DAD21A4">
      <w:pPr>
        <w:ind w:firstLine="600" w:firstLineChars="200"/>
        <w:rPr>
          <w:rFonts w:ascii="Times New Roman" w:hAnsi="Times New Roman" w:eastAsia="仿宋_GB2312" w:cs="Times New Roman"/>
          <w:sz w:val="30"/>
          <w:szCs w:val="30"/>
        </w:rPr>
      </w:pPr>
      <w:r>
        <w:rPr>
          <w:rFonts w:hint="eastAsia" w:ascii="Times New Roman" w:hAnsi="Times New Roman" w:eastAsia="黑体" w:cs="Times New Roman"/>
          <w:sz w:val="30"/>
          <w:szCs w:val="30"/>
        </w:rPr>
        <w:t>指南编号：</w:t>
      </w:r>
      <w:r>
        <w:rPr>
          <w:rFonts w:ascii="Times New Roman" w:hAnsi="Times New Roman" w:eastAsia="仿宋_GB2312" w:cs="Times New Roman"/>
          <w:sz w:val="30"/>
          <w:szCs w:val="30"/>
        </w:rPr>
        <w:t>2026-KF01-001</w:t>
      </w:r>
    </w:p>
    <w:p w14:paraId="4FF917F1">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研究目标：</w:t>
      </w:r>
      <w:r>
        <w:rPr>
          <w:rFonts w:ascii="Times New Roman" w:hAnsi="Times New Roman" w:eastAsia="仿宋_GB2312" w:cs="Times New Roman"/>
          <w:sz w:val="30"/>
          <w:szCs w:val="30"/>
        </w:rPr>
        <w:t>紧密围绕“3060”碳达峰碳中和战略目标，结合重型燃机高效、低碳、灵活燃料需求。重点针对零碳燃料氨气火焰传播速度低、燃烧稳定性弱、NOx排放高等瓶颈问题，发展氨的微通道催化热裂解与稳定燃烧方法，得到燃烧稳定边界宽和NOx排放低的氨微裂解燃烧喷嘴结构。</w:t>
      </w:r>
    </w:p>
    <w:p w14:paraId="60B1DE92">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6847C7FB">
      <w:pPr>
        <w:spacing w:line="560" w:lineRule="exact"/>
        <w:ind w:firstLine="600" w:firstLineChars="200"/>
        <w:rPr>
          <w:rFonts w:ascii="仿宋_GB2312" w:hAnsi="Times New Roman" w:eastAsia="仿宋_GB2312" w:cs="Times New Roman"/>
          <w:sz w:val="30"/>
          <w:szCs w:val="30"/>
        </w:rPr>
      </w:pPr>
      <w:r>
        <w:rPr>
          <w:rFonts w:ascii="仿宋_GB2312" w:hAnsi="Times New Roman" w:eastAsia="仿宋_GB2312" w:cs="Times New Roman"/>
          <w:sz w:val="30"/>
          <w:szCs w:val="30"/>
        </w:rPr>
        <w:t>1.开展宽工况范围</w:t>
      </w:r>
      <w:r>
        <w:rPr>
          <w:rFonts w:hint="eastAsia" w:ascii="仿宋_GB2312" w:hAnsi="Times New Roman" w:eastAsia="仿宋_GB2312" w:cs="Times New Roman"/>
          <w:sz w:val="30"/>
          <w:szCs w:val="30"/>
        </w:rPr>
        <w:t>微通道氨催化裂解的表面反应动力学和实验</w:t>
      </w:r>
      <w:r>
        <w:rPr>
          <w:rFonts w:ascii="仿宋_GB2312" w:hAnsi="Times New Roman" w:eastAsia="仿宋_GB2312" w:cs="Times New Roman"/>
          <w:sz w:val="30"/>
          <w:szCs w:val="30"/>
        </w:rPr>
        <w:t>研究，揭示</w:t>
      </w:r>
      <w:r>
        <w:rPr>
          <w:rFonts w:hint="eastAsia" w:ascii="仿宋_GB2312" w:hAnsi="Times New Roman" w:eastAsia="仿宋_GB2312" w:cs="Times New Roman"/>
          <w:sz w:val="30"/>
          <w:szCs w:val="30"/>
        </w:rPr>
        <w:t>结构参数、催化剂</w:t>
      </w:r>
      <w:r>
        <w:rPr>
          <w:rFonts w:ascii="仿宋_GB2312" w:hAnsi="Times New Roman" w:eastAsia="仿宋_GB2312" w:cs="Times New Roman"/>
          <w:sz w:val="30"/>
          <w:szCs w:val="30"/>
        </w:rPr>
        <w:t>、</w:t>
      </w:r>
      <w:r>
        <w:rPr>
          <w:rFonts w:hint="eastAsia" w:ascii="仿宋_GB2312" w:hAnsi="Times New Roman" w:eastAsia="仿宋_GB2312" w:cs="Times New Roman"/>
          <w:sz w:val="30"/>
          <w:szCs w:val="30"/>
        </w:rPr>
        <w:t>温度、压力</w:t>
      </w:r>
      <w:r>
        <w:rPr>
          <w:rFonts w:ascii="仿宋_GB2312" w:hAnsi="Times New Roman" w:eastAsia="仿宋_GB2312" w:cs="Times New Roman"/>
          <w:sz w:val="30"/>
          <w:szCs w:val="30"/>
        </w:rPr>
        <w:t>等对</w:t>
      </w:r>
      <w:r>
        <w:rPr>
          <w:rFonts w:hint="eastAsia" w:ascii="仿宋_GB2312" w:hAnsi="Times New Roman" w:eastAsia="仿宋_GB2312" w:cs="Times New Roman"/>
          <w:sz w:val="30"/>
          <w:szCs w:val="30"/>
        </w:rPr>
        <w:t>氨裂解特性</w:t>
      </w:r>
      <w:r>
        <w:rPr>
          <w:rFonts w:ascii="仿宋_GB2312" w:hAnsi="Times New Roman" w:eastAsia="仿宋_GB2312" w:cs="Times New Roman"/>
          <w:sz w:val="30"/>
          <w:szCs w:val="30"/>
        </w:rPr>
        <w:t>的影响规律。</w:t>
      </w:r>
    </w:p>
    <w:p w14:paraId="0D8DDB46">
      <w:pPr>
        <w:spacing w:line="560" w:lineRule="exact"/>
        <w:ind w:firstLine="600" w:firstLineChars="200"/>
        <w:rPr>
          <w:rFonts w:ascii="仿宋_GB2312" w:hAnsi="Times New Roman" w:eastAsia="仿宋_GB2312" w:cs="Times New Roman"/>
          <w:sz w:val="30"/>
          <w:szCs w:val="30"/>
        </w:rPr>
      </w:pPr>
      <w:r>
        <w:rPr>
          <w:rFonts w:ascii="仿宋_GB2312" w:hAnsi="Times New Roman" w:eastAsia="仿宋_GB2312" w:cs="Times New Roman"/>
          <w:sz w:val="30"/>
          <w:szCs w:val="30"/>
        </w:rPr>
        <w:t>2.开展</w:t>
      </w:r>
      <w:r>
        <w:rPr>
          <w:rFonts w:hint="eastAsia" w:ascii="仿宋_GB2312" w:hAnsi="Times New Roman" w:eastAsia="仿宋_GB2312" w:cs="Times New Roman"/>
          <w:sz w:val="30"/>
          <w:szCs w:val="30"/>
        </w:rPr>
        <w:t>氨微通道裂解与燃烧集成的理论和数值分析</w:t>
      </w:r>
      <w:r>
        <w:rPr>
          <w:rFonts w:ascii="仿宋_GB2312" w:hAnsi="Times New Roman" w:eastAsia="仿宋_GB2312" w:cs="Times New Roman"/>
          <w:sz w:val="30"/>
          <w:szCs w:val="30"/>
        </w:rPr>
        <w:t>研究</w:t>
      </w:r>
      <w:r>
        <w:rPr>
          <w:rFonts w:hint="eastAsia" w:ascii="仿宋_GB2312" w:hAnsi="Times New Roman" w:eastAsia="仿宋_GB2312" w:cs="Times New Roman"/>
          <w:sz w:val="30"/>
          <w:szCs w:val="30"/>
        </w:rPr>
        <w:t>，对耦合的流动、传热、传质及反应过程进行模拟和分析，建立氨裂解与燃烧集成策略。</w:t>
      </w:r>
    </w:p>
    <w:p w14:paraId="47CDEED0">
      <w:pPr>
        <w:ind w:firstLine="600" w:firstLineChars="200"/>
        <w:rPr>
          <w:rFonts w:ascii="Times New Roman" w:hAnsi="Times New Roman" w:eastAsia="黑体" w:cs="Times New Roman"/>
          <w:sz w:val="30"/>
          <w:szCs w:val="30"/>
        </w:rPr>
      </w:pPr>
      <w:r>
        <w:rPr>
          <w:rFonts w:ascii="仿宋_GB2312" w:hAnsi="Times New Roman" w:eastAsia="仿宋_GB2312" w:cs="Times New Roman"/>
          <w:sz w:val="30"/>
          <w:szCs w:val="30"/>
        </w:rPr>
        <w:t>3.</w:t>
      </w:r>
      <w:r>
        <w:rPr>
          <w:rFonts w:hint="eastAsia" w:ascii="仿宋_GB2312" w:hAnsi="Times New Roman" w:eastAsia="仿宋_GB2312" w:cs="Times New Roman"/>
          <w:sz w:val="30"/>
          <w:szCs w:val="30"/>
        </w:rPr>
        <w:t>开展氨裂解气的混合与稳焰机理分析研究，揭示氨裂解气的稳定燃烧机理</w:t>
      </w:r>
      <w:r>
        <w:rPr>
          <w:rFonts w:ascii="仿宋_GB2312" w:hAnsi="Times New Roman" w:eastAsia="仿宋_GB2312" w:cs="Times New Roman"/>
          <w:sz w:val="30"/>
          <w:szCs w:val="30"/>
        </w:rPr>
        <w:t>，提出相应的喷嘴结构，掌握</w:t>
      </w:r>
      <w:r>
        <w:rPr>
          <w:rFonts w:hint="eastAsia" w:ascii="仿宋_GB2312" w:hAnsi="Times New Roman" w:eastAsia="仿宋_GB2312" w:cs="Times New Roman"/>
          <w:sz w:val="30"/>
          <w:szCs w:val="30"/>
        </w:rPr>
        <w:t>氨的微通道催化热裂解与稳定燃烧方法</w:t>
      </w:r>
      <w:r>
        <w:rPr>
          <w:rFonts w:ascii="仿宋_GB2312" w:hAnsi="Times New Roman" w:eastAsia="仿宋_GB2312" w:cs="Times New Roman"/>
          <w:sz w:val="30"/>
          <w:szCs w:val="30"/>
        </w:rPr>
        <w:t>，并在</w:t>
      </w:r>
      <w:r>
        <w:rPr>
          <w:rFonts w:hint="eastAsia" w:ascii="仿宋_GB2312" w:hAnsi="Times New Roman" w:eastAsia="仿宋_GB2312" w:cs="Times New Roman"/>
          <w:sz w:val="30"/>
          <w:szCs w:val="30"/>
        </w:rPr>
        <w:t>单元喷嘴上进行实验验证。</w:t>
      </w:r>
    </w:p>
    <w:p w14:paraId="75D092EB">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7A9ED3F7">
      <w:pPr>
        <w:numPr>
          <w:ilvl w:val="0"/>
          <w:numId w:val="1"/>
        </w:numPr>
        <w:spacing w:line="560" w:lineRule="exact"/>
        <w:rPr>
          <w:rFonts w:ascii="仿宋_GB2312" w:hAnsi="Times New Roman" w:eastAsia="仿宋_GB2312" w:cs="Times New Roman"/>
          <w:sz w:val="30"/>
          <w:szCs w:val="30"/>
        </w:rPr>
      </w:pPr>
      <w:r>
        <w:rPr>
          <w:rFonts w:hint="eastAsia" w:ascii="仿宋_GB2312" w:hAnsi="Times New Roman" w:eastAsia="仿宋_GB2312" w:cs="Times New Roman"/>
          <w:sz w:val="30"/>
          <w:szCs w:val="30"/>
        </w:rPr>
        <w:t>氨微裂解特性</w:t>
      </w:r>
      <w:r>
        <w:rPr>
          <w:rFonts w:ascii="仿宋_GB2312" w:hAnsi="Times New Roman" w:eastAsia="仿宋_GB2312" w:cs="Times New Roman"/>
          <w:sz w:val="30"/>
          <w:szCs w:val="30"/>
        </w:rPr>
        <w:t xml:space="preserve">研究报告; </w:t>
      </w:r>
    </w:p>
    <w:p w14:paraId="7E23D611">
      <w:pPr>
        <w:numPr>
          <w:ilvl w:val="0"/>
          <w:numId w:val="1"/>
        </w:numPr>
        <w:spacing w:line="560" w:lineRule="exact"/>
        <w:rPr>
          <w:rFonts w:ascii="仿宋_GB2312" w:hAnsi="Times New Roman" w:eastAsia="仿宋_GB2312" w:cs="Times New Roman"/>
          <w:sz w:val="30"/>
          <w:szCs w:val="30"/>
        </w:rPr>
      </w:pPr>
      <w:r>
        <w:rPr>
          <w:rFonts w:hint="eastAsia" w:ascii="仿宋_GB2312" w:hAnsi="Times New Roman" w:eastAsia="仿宋_GB2312" w:cs="Times New Roman"/>
          <w:sz w:val="30"/>
          <w:szCs w:val="30"/>
        </w:rPr>
        <w:t>氨微裂解与燃烧集成策略研究报告；</w:t>
      </w:r>
    </w:p>
    <w:p w14:paraId="0D7E81BC">
      <w:pPr>
        <w:numPr>
          <w:ilvl w:val="0"/>
          <w:numId w:val="1"/>
        </w:numPr>
        <w:spacing w:line="560" w:lineRule="exact"/>
        <w:rPr>
          <w:rFonts w:ascii="仿宋_GB2312" w:hAnsi="Times New Roman" w:eastAsia="仿宋_GB2312" w:cs="Times New Roman"/>
          <w:sz w:val="30"/>
          <w:szCs w:val="30"/>
        </w:rPr>
      </w:pPr>
      <w:r>
        <w:rPr>
          <w:rFonts w:hint="eastAsia" w:ascii="仿宋_GB2312" w:hAnsi="Times New Roman" w:eastAsia="仿宋_GB2312" w:cs="Times New Roman"/>
          <w:sz w:val="30"/>
          <w:szCs w:val="30"/>
        </w:rPr>
        <w:t>氨微裂解燃烧单元喷嘴试验研究报告；</w:t>
      </w:r>
    </w:p>
    <w:p w14:paraId="341C1847">
      <w:pPr>
        <w:numPr>
          <w:ilvl w:val="0"/>
          <w:numId w:val="1"/>
        </w:numPr>
        <w:spacing w:line="560" w:lineRule="exact"/>
        <w:rPr>
          <w:rFonts w:ascii="仿宋_GB2312" w:hAnsi="Times New Roman" w:eastAsia="仿宋_GB2312" w:cs="Times New Roman"/>
          <w:sz w:val="30"/>
          <w:szCs w:val="30"/>
        </w:rPr>
      </w:pPr>
      <w:r>
        <w:rPr>
          <w:rFonts w:hint="eastAsia" w:ascii="仿宋_GB2312" w:hAnsi="Times New Roman" w:eastAsia="仿宋_GB2312" w:cs="Times New Roman"/>
          <w:sz w:val="30"/>
          <w:szCs w:val="30"/>
        </w:rPr>
        <w:t>氨微裂解</w:t>
      </w:r>
      <w:r>
        <w:rPr>
          <w:rFonts w:ascii="仿宋_GB2312" w:hAnsi="Times New Roman" w:eastAsia="仿宋_GB2312" w:cs="Times New Roman"/>
          <w:sz w:val="30"/>
          <w:szCs w:val="30"/>
        </w:rPr>
        <w:t>燃烧测量实验件;</w:t>
      </w:r>
    </w:p>
    <w:p w14:paraId="79431802">
      <w:pPr>
        <w:ind w:firstLine="600" w:firstLineChars="200"/>
        <w:rPr>
          <w:rFonts w:ascii="Times New Roman" w:hAnsi="Times New Roman" w:eastAsia="黑体" w:cs="Times New Roman"/>
          <w:sz w:val="30"/>
          <w:szCs w:val="30"/>
        </w:rPr>
      </w:pPr>
      <w:r>
        <w:rPr>
          <w:rFonts w:hint="eastAsia" w:ascii="仿宋_GB2312" w:hAnsi="Times New Roman" w:eastAsia="仿宋_GB2312" w:cs="Times New Roman"/>
          <w:sz w:val="30"/>
          <w:szCs w:val="30"/>
        </w:rPr>
        <w:t>申报国家发明专利不少于</w:t>
      </w:r>
      <w:r>
        <w:rPr>
          <w:rFonts w:ascii="仿宋_GB2312" w:hAnsi="Times New Roman" w:eastAsia="仿宋_GB2312" w:cs="Times New Roman"/>
          <w:sz w:val="30"/>
          <w:szCs w:val="30"/>
        </w:rPr>
        <w:t>3</w:t>
      </w:r>
      <w:r>
        <w:rPr>
          <w:rFonts w:hint="eastAsia" w:ascii="仿宋_GB2312" w:hAnsi="Times New Roman" w:eastAsia="仿宋_GB2312" w:cs="Times New Roman"/>
          <w:sz w:val="30"/>
          <w:szCs w:val="30"/>
        </w:rPr>
        <w:t>项，发表论文不少于</w:t>
      </w:r>
      <w:r>
        <w:rPr>
          <w:rFonts w:ascii="仿宋_GB2312" w:hAnsi="Times New Roman" w:eastAsia="仿宋_GB2312" w:cs="Times New Roman"/>
          <w:sz w:val="30"/>
          <w:szCs w:val="30"/>
        </w:rPr>
        <w:t>2</w:t>
      </w:r>
      <w:r>
        <w:rPr>
          <w:rFonts w:hint="eastAsia" w:ascii="仿宋_GB2312" w:hAnsi="Times New Roman" w:eastAsia="仿宋_GB2312" w:cs="Times New Roman"/>
          <w:sz w:val="30"/>
          <w:szCs w:val="30"/>
        </w:rPr>
        <w:t>篇。</w:t>
      </w:r>
    </w:p>
    <w:p w14:paraId="3468B741">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22FB4590">
      <w:pPr>
        <w:ind w:firstLine="600" w:firstLineChars="200"/>
        <w:rPr>
          <w:rFonts w:ascii="Times New Roman" w:hAnsi="Times New Roman" w:eastAsia="黑体" w:cs="Times New Roman"/>
          <w:sz w:val="30"/>
          <w:szCs w:val="30"/>
        </w:rPr>
      </w:pPr>
      <w:r>
        <w:rPr>
          <w:rFonts w:hint="eastAsia" w:ascii="仿宋_GB2312" w:hAnsi="Times New Roman" w:eastAsia="仿宋_GB2312"/>
          <w:sz w:val="30"/>
          <w:szCs w:val="30"/>
        </w:rPr>
        <w:t>单元喷嘴验证实验，</w:t>
      </w:r>
      <w:r>
        <w:rPr>
          <w:rFonts w:ascii="仿宋_GB2312" w:hAnsi="Times New Roman" w:eastAsia="仿宋_GB2312"/>
          <w:sz w:val="30"/>
          <w:szCs w:val="30"/>
        </w:rPr>
        <w:t>最高压力3bar，最高空气流量50g/s，</w:t>
      </w:r>
      <w:r>
        <w:rPr>
          <w:rFonts w:hint="eastAsia" w:ascii="仿宋_GB2312" w:hAnsi="Times New Roman" w:eastAsia="仿宋_GB2312"/>
          <w:sz w:val="30"/>
          <w:szCs w:val="30"/>
        </w:rPr>
        <w:t>喷嘴绝热火焰温度最高</w:t>
      </w:r>
      <w:r>
        <w:rPr>
          <w:rFonts w:ascii="仿宋_GB2312" w:hAnsi="Times New Roman" w:eastAsia="仿宋_GB2312"/>
          <w:sz w:val="30"/>
          <w:szCs w:val="30"/>
        </w:rPr>
        <w:t>1450</w:t>
      </w:r>
      <w:r>
        <w:rPr>
          <w:rFonts w:hint="eastAsia" w:ascii="仿宋_GB2312" w:hAnsi="Times New Roman" w:eastAsia="仿宋_GB2312"/>
          <w:sz w:val="30"/>
          <w:szCs w:val="30"/>
        </w:rPr>
        <w:t>℃，N</w:t>
      </w:r>
      <w:r>
        <w:rPr>
          <w:rFonts w:ascii="仿宋_GB2312" w:hAnsi="Times New Roman" w:eastAsia="仿宋_GB2312"/>
          <w:sz w:val="30"/>
          <w:szCs w:val="30"/>
        </w:rPr>
        <w:t>O</w:t>
      </w:r>
      <w:r>
        <w:rPr>
          <w:rFonts w:hint="eastAsia" w:ascii="仿宋_GB2312" w:hAnsi="Times New Roman" w:eastAsia="仿宋_GB2312"/>
          <w:sz w:val="30"/>
          <w:szCs w:val="30"/>
        </w:rPr>
        <w:t>x不大于2</w:t>
      </w:r>
      <w:r>
        <w:rPr>
          <w:rFonts w:ascii="仿宋_GB2312" w:hAnsi="Times New Roman" w:eastAsia="仿宋_GB2312"/>
          <w:sz w:val="30"/>
          <w:szCs w:val="30"/>
        </w:rPr>
        <w:t>00</w:t>
      </w:r>
      <w:r>
        <w:rPr>
          <w:rFonts w:hint="eastAsia" w:ascii="仿宋_GB2312" w:hAnsi="Times New Roman" w:eastAsia="仿宋_GB2312"/>
          <w:sz w:val="30"/>
          <w:szCs w:val="30"/>
        </w:rPr>
        <w:t>ppm。</w:t>
      </w:r>
    </w:p>
    <w:p w14:paraId="17C4A7D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研究周期：2</w:t>
      </w:r>
      <w:r>
        <w:rPr>
          <w:rFonts w:ascii="Times New Roman" w:hAnsi="Times New Roman" w:eastAsia="黑体" w:cs="Times New Roman"/>
          <w:sz w:val="30"/>
          <w:szCs w:val="30"/>
        </w:rPr>
        <w:t>4</w:t>
      </w:r>
      <w:r>
        <w:rPr>
          <w:rFonts w:hint="eastAsia" w:ascii="Times New Roman" w:hAnsi="Times New Roman" w:eastAsia="黑体" w:cs="Times New Roman"/>
          <w:sz w:val="30"/>
          <w:szCs w:val="30"/>
        </w:rPr>
        <w:t>个月</w:t>
      </w:r>
    </w:p>
    <w:p w14:paraId="76D97EB0">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w:t>
      </w:r>
      <w:r>
        <w:rPr>
          <w:rFonts w:ascii="Times New Roman" w:hAnsi="Times New Roman" w:eastAsia="黑体" w:cs="Times New Roman"/>
          <w:sz w:val="30"/>
          <w:szCs w:val="30"/>
        </w:rPr>
        <w:t>70</w:t>
      </w:r>
      <w:r>
        <w:rPr>
          <w:rFonts w:hint="eastAsia" w:ascii="Times New Roman" w:hAnsi="Times New Roman" w:eastAsia="黑体" w:cs="Times New Roman"/>
          <w:sz w:val="30"/>
          <w:szCs w:val="30"/>
        </w:rPr>
        <w:t>万元</w:t>
      </w:r>
    </w:p>
    <w:p w14:paraId="4A90593A">
      <w:pPr>
        <w:rPr>
          <w:rFonts w:ascii="Times New Roman" w:hAnsi="Times New Roman" w:eastAsia="黑体" w:cs="Times New Roman"/>
          <w:sz w:val="30"/>
          <w:szCs w:val="30"/>
        </w:rPr>
      </w:pPr>
    </w:p>
    <w:p w14:paraId="4D26FF48">
      <w:pPr>
        <w:widowControl/>
        <w:jc w:val="left"/>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69F91D0C">
      <w:pPr>
        <w:ind w:firstLine="600" w:firstLineChars="200"/>
        <w:outlineLvl w:val="1"/>
        <w:rPr>
          <w:rFonts w:ascii="Times New Roman" w:hAnsi="Times New Roman" w:eastAsia="黑体" w:cs="Times New Roman"/>
          <w:sz w:val="30"/>
          <w:szCs w:val="30"/>
        </w:rPr>
      </w:pPr>
      <w:r>
        <w:rPr>
          <w:rFonts w:ascii="Times New Roman" w:hAnsi="Times New Roman" w:eastAsia="黑体" w:cs="Times New Roman"/>
          <w:sz w:val="30"/>
          <w:szCs w:val="30"/>
        </w:rPr>
        <w:t>2.</w:t>
      </w:r>
      <w:r>
        <w:rPr>
          <w:rFonts w:hint="eastAsia" w:ascii="Times New Roman" w:hAnsi="Times New Roman" w:eastAsia="黑体" w:cs="Times New Roman"/>
          <w:sz w:val="30"/>
          <w:szCs w:val="30"/>
        </w:rPr>
        <w:t>面向大尺寸环锻件锻造应力表征的智能技术研究</w:t>
      </w:r>
    </w:p>
    <w:p w14:paraId="12E42B4F">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w:t>
      </w:r>
      <w:r>
        <w:rPr>
          <w:rFonts w:ascii="Times New Roman" w:hAnsi="Times New Roman" w:eastAsia="黑体" w:cs="Times New Roman"/>
          <w:sz w:val="30"/>
          <w:szCs w:val="30"/>
        </w:rPr>
        <w:t>-002</w:t>
      </w:r>
    </w:p>
    <w:p w14:paraId="17B57FF1">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研究目标：</w:t>
      </w:r>
      <w:r>
        <w:rPr>
          <w:rFonts w:hint="eastAsia" w:ascii="仿宋_GB2312" w:hAnsi="Times New Roman" w:eastAsia="仿宋_GB2312"/>
          <w:sz w:val="30"/>
          <w:szCs w:val="30"/>
        </w:rPr>
        <w:t>针对燃气轮机大尺寸环锻件在锻造、热处理、机加工与分割装配过程中残余应力难表征、释放变形难预测等问题，针对锻造全过程应力状态模拟与智能快速预测方法开展探索性研究。</w:t>
      </w:r>
      <w:r>
        <w:rPr>
          <w:rFonts w:ascii="仿宋_GB2312" w:hAnsi="Times New Roman" w:eastAsia="仿宋_GB2312"/>
          <w:sz w:val="30"/>
          <w:szCs w:val="30"/>
        </w:rPr>
        <w:t>本项目</w:t>
      </w:r>
      <w:r>
        <w:rPr>
          <w:rFonts w:hint="eastAsia" w:ascii="仿宋_GB2312" w:hAnsi="Times New Roman" w:eastAsia="仿宋_GB2312"/>
          <w:sz w:val="30"/>
          <w:szCs w:val="30"/>
        </w:rPr>
        <w:t>需</w:t>
      </w:r>
      <w:r>
        <w:rPr>
          <w:rFonts w:ascii="仿宋_GB2312" w:hAnsi="Times New Roman" w:eastAsia="仿宋_GB2312"/>
          <w:sz w:val="30"/>
          <w:szCs w:val="30"/>
        </w:rPr>
        <w:t>建立典型环锻件材料高温流变本构模型与关键工序（聚焦锻造、热处理及切割释放）的有限元仿真基准，在此基础上探索引入物理信息神经网络（PINN）或物理信息神经算子（PINO）的可行性，验证其在应力场快速预测中的适用条件、精度边界与效率瓶颈，形成可复用的算法探索框架与理论依据，为后续低应力制造技术开</w:t>
      </w:r>
      <w:r>
        <w:rPr>
          <w:rFonts w:hint="eastAsia" w:ascii="仿宋_GB2312" w:hAnsi="Times New Roman" w:eastAsia="仿宋_GB2312"/>
          <w:sz w:val="30"/>
          <w:szCs w:val="30"/>
        </w:rPr>
        <w:t>发提供前期储备。</w:t>
      </w:r>
    </w:p>
    <w:p w14:paraId="48F497B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34819821">
      <w:pPr>
        <w:ind w:firstLine="600" w:firstLineChars="200"/>
        <w:rPr>
          <w:rFonts w:ascii="仿宋_GB2312" w:hAnsi="Times New Roman" w:eastAsia="仿宋_GB2312"/>
          <w:sz w:val="30"/>
          <w:szCs w:val="30"/>
        </w:rPr>
      </w:pPr>
      <w:r>
        <w:rPr>
          <w:rFonts w:hint="eastAsia" w:ascii="仿宋_GB2312" w:hAnsi="Times New Roman" w:eastAsia="仿宋_GB2312"/>
          <w:sz w:val="30"/>
          <w:szCs w:val="30"/>
        </w:rPr>
        <w:t>1.材料特性与应力演化机理研究：针对燃气轮机典型环锻件材料，</w:t>
      </w:r>
      <w:r>
        <w:rPr>
          <w:rFonts w:ascii="仿宋_GB2312" w:hAnsi="Times New Roman" w:eastAsia="仿宋_GB2312"/>
          <w:sz w:val="30"/>
          <w:szCs w:val="30"/>
        </w:rPr>
        <w:t>重点围绕锻造与热处理关键温度区间，开展高温力学性能、流变行为与组织演化规律研究，获取建立热-力-组织耦合本构模型所需的核心材料参数</w:t>
      </w:r>
      <w:r>
        <w:rPr>
          <w:rFonts w:hint="eastAsia" w:ascii="仿宋_GB2312" w:hAnsi="Times New Roman" w:eastAsia="仿宋_GB2312"/>
          <w:sz w:val="30"/>
          <w:szCs w:val="30"/>
        </w:rPr>
        <w:t>。</w:t>
      </w:r>
    </w:p>
    <w:p w14:paraId="60D21448">
      <w:pPr>
        <w:ind w:firstLine="600" w:firstLineChars="200"/>
        <w:rPr>
          <w:rFonts w:ascii="仿宋_GB2312" w:hAnsi="Times New Roman" w:eastAsia="仿宋_GB2312"/>
          <w:strike/>
          <w:sz w:val="30"/>
          <w:szCs w:val="30"/>
        </w:rPr>
      </w:pPr>
      <w:r>
        <w:rPr>
          <w:rFonts w:ascii="仿宋_GB2312" w:hAnsi="Times New Roman" w:eastAsia="仿宋_GB2312"/>
          <w:sz w:val="30"/>
          <w:szCs w:val="30"/>
        </w:rPr>
        <w:t>2.多工序有限元建模与应力传递基准研究：</w:t>
      </w:r>
      <w:r>
        <w:rPr>
          <w:rFonts w:hint="eastAsia" w:ascii="仿宋_GB2312" w:hAnsi="Times New Roman" w:eastAsia="仿宋_GB2312"/>
          <w:sz w:val="30"/>
          <w:szCs w:val="30"/>
        </w:rPr>
        <w:t>聚焦锻造、热处理及切割释放等</w:t>
      </w:r>
      <w:r>
        <w:rPr>
          <w:rFonts w:ascii="仿宋_GB2312" w:hAnsi="Times New Roman" w:eastAsia="仿宋_GB2312"/>
          <w:sz w:val="30"/>
          <w:szCs w:val="30"/>
        </w:rPr>
        <w:t>2～3个典型关键环节，建立工序间应力传递的有限元分析模型，形成材料参数反演、接触摩擦、热边界条件处理及网格重构等基本方法。</w:t>
      </w:r>
    </w:p>
    <w:p w14:paraId="2600DE97">
      <w:pPr>
        <w:ind w:firstLine="600" w:firstLineChars="200"/>
        <w:rPr>
          <w:rFonts w:ascii="Times New Roman" w:hAnsi="Times New Roman" w:eastAsia="黑体" w:cs="Times New Roman"/>
          <w:sz w:val="30"/>
          <w:szCs w:val="30"/>
        </w:rPr>
      </w:pPr>
      <w:r>
        <w:rPr>
          <w:rFonts w:ascii="仿宋_GB2312" w:hAnsi="Times New Roman" w:eastAsia="仿宋_GB2312"/>
          <w:sz w:val="30"/>
          <w:szCs w:val="30"/>
        </w:rPr>
        <w:t>3.基于物理信息神经网络的快速应力场预测新方法探索：构建简化条件下的快速应力场预测原型算法，重点评估其在高维工艺参数空间中的适应能力、预测精度边界与计算效率瓶颈，明确该类智能方法在环锻件应力预测场景中的适用条件与局限性，形成可行性结论。</w:t>
      </w:r>
    </w:p>
    <w:p w14:paraId="2CBCFC11">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393E8639">
      <w:pPr>
        <w:adjustRightInd w:val="0"/>
        <w:snapToGrid w:val="0"/>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形成应力场智能快速预测探索性算法框架</w:t>
      </w:r>
      <w:r>
        <w:rPr>
          <w:rFonts w:ascii="仿宋_GB2312" w:hAnsi="Times New Roman" w:eastAsia="仿宋_GB2312"/>
          <w:sz w:val="30"/>
          <w:szCs w:val="30"/>
        </w:rPr>
        <w:t>1套，具备材料参数输入、智能代理模型实验性调用</w:t>
      </w:r>
      <w:r>
        <w:rPr>
          <w:rFonts w:hint="eastAsia" w:ascii="仿宋_GB2312" w:hAnsi="Times New Roman" w:eastAsia="仿宋_GB2312"/>
          <w:sz w:val="30"/>
          <w:szCs w:val="30"/>
        </w:rPr>
        <w:t>等</w:t>
      </w:r>
      <w:r>
        <w:rPr>
          <w:rFonts w:ascii="仿宋_GB2312" w:hAnsi="Times New Roman" w:eastAsia="仿宋_GB2312"/>
          <w:sz w:val="30"/>
          <w:szCs w:val="30"/>
        </w:rPr>
        <w:t>概念验证功能。</w:t>
      </w:r>
    </w:p>
    <w:p w14:paraId="13682304">
      <w:pPr>
        <w:adjustRightInd w:val="0"/>
        <w:snapToGrid w:val="0"/>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形成典型环锻件材料性能与工艺仿真数据库1套，包含核心材料参数、典型工艺参数及有限元基准结果。</w:t>
      </w:r>
    </w:p>
    <w:p w14:paraId="26854895">
      <w:pPr>
        <w:ind w:firstLine="600" w:firstLineChars="200"/>
        <w:rPr>
          <w:rFonts w:ascii="仿宋_GB2312" w:hAnsi="Times New Roman" w:eastAsia="仿宋_GB2312"/>
          <w:sz w:val="30"/>
          <w:szCs w:val="30"/>
        </w:rPr>
      </w:pPr>
      <w:r>
        <w:rPr>
          <w:rFonts w:hint="eastAsia" w:ascii="仿宋_GB2312" w:hAnsi="Times New Roman" w:eastAsia="仿宋_GB2312"/>
          <w:sz w:val="30"/>
          <w:szCs w:val="30"/>
        </w:rPr>
        <w:t>形成锻造全过程应力表征与智能预测技术可行性评估报告1份，</w:t>
      </w:r>
      <w:r>
        <w:rPr>
          <w:rFonts w:ascii="仿宋_GB2312" w:hAnsi="Times New Roman" w:eastAsia="仿宋_GB2312"/>
          <w:sz w:val="30"/>
          <w:szCs w:val="30"/>
        </w:rPr>
        <w:t>重点分析智能算法相对于传统有限元的适用边界、精度与效率瓶颈。</w:t>
      </w:r>
    </w:p>
    <w:p w14:paraId="0605D16A">
      <w:pPr>
        <w:adjustRightInd w:val="0"/>
        <w:snapToGrid w:val="0"/>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材料特性与有限元建模研究报告、智能算法适用性评估报告各1份。</w:t>
      </w:r>
    </w:p>
    <w:p w14:paraId="55FF3E25">
      <w:pPr>
        <w:ind w:firstLine="600" w:firstLineChars="200"/>
        <w:rPr>
          <w:rFonts w:ascii="Times New Roman" w:hAnsi="Times New Roman" w:eastAsia="黑体" w:cs="Times New Roman"/>
          <w:sz w:val="30"/>
          <w:szCs w:val="30"/>
        </w:rPr>
      </w:pPr>
      <w:r>
        <w:rPr>
          <w:rFonts w:hint="eastAsia" w:ascii="仿宋_GB2312" w:hAnsi="Times New Roman" w:eastAsia="仿宋_GB2312"/>
          <w:sz w:val="30"/>
          <w:szCs w:val="30"/>
        </w:rPr>
        <w:t>发表SCI/EI论文1篇以上，申请发明专利或登记软件著作权合计2项以上。</w:t>
      </w:r>
    </w:p>
    <w:p w14:paraId="73959304">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412E13EA">
      <w:pPr>
        <w:adjustRightInd w:val="0"/>
        <w:snapToGrid w:val="0"/>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建立典型环锻件材料高温流变与残余应力演化本构模型，关键材料参数反演误差不超过15%，应力演化趋势与试验或文献观测结果定性一致。</w:t>
      </w:r>
    </w:p>
    <w:p w14:paraId="391E1FB1">
      <w:pPr>
        <w:adjustRightInd w:val="0"/>
        <w:snapToGrid w:val="0"/>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建立覆盖锻造、热处理及切割释放等2～3个关键工序的有限元应力传递模型，关键区域应力预测趋势与试验/文献数据定性吻合，在限定工况下关键区域残余应力预测误差不超过20%。</w:t>
      </w:r>
    </w:p>
    <w:p w14:paraId="79D7F0FD">
      <w:pPr>
        <w:adjustRightInd w:val="0"/>
        <w:snapToGrid w:val="0"/>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完成</w:t>
      </w:r>
      <w:r>
        <w:rPr>
          <w:rFonts w:ascii="仿宋_GB2312" w:hAnsi="Times New Roman" w:eastAsia="仿宋_GB2312"/>
          <w:sz w:val="30"/>
          <w:szCs w:val="30"/>
        </w:rPr>
        <w:t>PINN或PINO在简化条件下的适用性探索，形成智能快速预测精度-效率评估报告，明确其相对于传统有限元在锻造应力预测场景中的优势、局限与瓶颈。</w:t>
      </w:r>
    </w:p>
    <w:p w14:paraId="7224F214">
      <w:pPr>
        <w:adjustRightInd w:val="0"/>
        <w:snapToGrid w:val="0"/>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完成不少于10组工艺参数样本的敏感性分析，识别不少于2个对残余应力与变形具有显著影响的主控因素，提出低应力制造工艺优化方向的初步建议。</w:t>
      </w:r>
    </w:p>
    <w:p w14:paraId="29ADD7CB">
      <w:pPr>
        <w:adjustRightInd w:val="0"/>
        <w:snapToGrid w:val="0"/>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阐明大尺寸环锻件在典型工序下残余应力形成、传递与释放的初步机理，形成探索性理论模型。</w:t>
      </w:r>
    </w:p>
    <w:p w14:paraId="6583B88B">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研究周期：2</w:t>
      </w:r>
      <w:r>
        <w:rPr>
          <w:rFonts w:ascii="Times New Roman" w:hAnsi="Times New Roman" w:eastAsia="黑体" w:cs="Times New Roman"/>
          <w:sz w:val="30"/>
          <w:szCs w:val="30"/>
        </w:rPr>
        <w:t>4</w:t>
      </w:r>
      <w:r>
        <w:rPr>
          <w:rFonts w:hint="eastAsia" w:ascii="Times New Roman" w:hAnsi="Times New Roman" w:eastAsia="黑体" w:cs="Times New Roman"/>
          <w:sz w:val="30"/>
          <w:szCs w:val="30"/>
        </w:rPr>
        <w:t>个月</w:t>
      </w:r>
    </w:p>
    <w:p w14:paraId="1485FF23">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w:t>
      </w:r>
      <w:r>
        <w:rPr>
          <w:rFonts w:ascii="Times New Roman" w:hAnsi="Times New Roman" w:eastAsia="黑体" w:cs="Times New Roman"/>
          <w:sz w:val="30"/>
          <w:szCs w:val="30"/>
        </w:rPr>
        <w:t>70</w:t>
      </w:r>
      <w:r>
        <w:rPr>
          <w:rFonts w:hint="eastAsia" w:ascii="Times New Roman" w:hAnsi="Times New Roman" w:eastAsia="黑体" w:cs="Times New Roman"/>
          <w:sz w:val="30"/>
          <w:szCs w:val="30"/>
        </w:rPr>
        <w:t>万元</w:t>
      </w:r>
    </w:p>
    <w:p w14:paraId="793B8F7C">
      <w:pPr>
        <w:ind w:firstLine="600" w:firstLineChars="200"/>
        <w:rPr>
          <w:rFonts w:hint="eastAsia" w:ascii="Times New Roman" w:hAnsi="Times New Roman" w:eastAsia="黑体" w:cs="Times New Roman"/>
          <w:sz w:val="30"/>
          <w:szCs w:val="30"/>
        </w:rPr>
      </w:pPr>
    </w:p>
    <w:p w14:paraId="30905A41">
      <w:pPr>
        <w:ind w:firstLine="610"/>
        <w:rPr>
          <w:rFonts w:ascii="Times New Roman" w:hAnsi="Times New Roman" w:eastAsia="黑体" w:cs="Times New Roman"/>
          <w:sz w:val="30"/>
          <w:szCs w:val="30"/>
        </w:rPr>
      </w:pPr>
    </w:p>
    <w:p w14:paraId="3994EDAF">
      <w:pPr>
        <w:widowControl/>
        <w:jc w:val="left"/>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3835D935">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3</w:t>
      </w:r>
      <w:r>
        <w:rPr>
          <w:rFonts w:ascii="Times New Roman" w:hAnsi="Times New Roman" w:eastAsia="黑体" w:cs="Times New Roman"/>
          <w:sz w:val="30"/>
          <w:szCs w:val="30"/>
        </w:rPr>
        <w:t>.</w:t>
      </w:r>
      <w:r>
        <w:rPr>
          <w:rFonts w:hint="eastAsia" w:ascii="Times New Roman" w:hAnsi="Times New Roman" w:eastAsia="黑体" w:cs="Times New Roman"/>
          <w:sz w:val="30"/>
          <w:szCs w:val="30"/>
        </w:rPr>
        <w:t>基于热历史荧光涂层的燃气轮机典型高温部件表面温度场测量方法研究</w:t>
      </w:r>
    </w:p>
    <w:p w14:paraId="453EA856">
      <w:pPr>
        <w:ind w:firstLine="61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KF01-003</w:t>
      </w:r>
    </w:p>
    <w:p w14:paraId="64B39920">
      <w:pPr>
        <w:spacing w:line="560" w:lineRule="exact"/>
        <w:ind w:firstLine="600" w:firstLineChars="200"/>
        <w:rPr>
          <w:rFonts w:ascii="Times New Roman" w:hAnsi="Times New Roman" w:eastAsia="仿宋_GB2312" w:cs="Times New Roman"/>
          <w:sz w:val="30"/>
          <w:szCs w:val="30"/>
        </w:rPr>
      </w:pPr>
      <w:r>
        <w:rPr>
          <w:rFonts w:hint="eastAsia" w:ascii="Times New Roman" w:hAnsi="Times New Roman" w:eastAsia="黑体" w:cs="Times New Roman"/>
          <w:sz w:val="30"/>
          <w:szCs w:val="30"/>
        </w:rPr>
        <w:t>研究目标</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本项目旨在针对燃气轮机热端部件热历史涂层测温需求，揭示涂层材料在高温下荧光特性不可逆演化的微观机理，构建温度-时间-荧光多参数关联的测温物理模型，并建立涂层可控制备技术。形成一套原理清晰、方法可靠、在典型高温合金基体上经过验证的热历史涂层测温技术方案，使测温温度范围覆盖600~1200 ℃，最高温度测量误差优于±10 ℃，为工程化应用奠定科学基础。</w:t>
      </w:r>
    </w:p>
    <w:p w14:paraId="41A5EA3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0DA2DA72">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1. 热历史敏感荧光材料设计与涂层制备方法研究</w:t>
      </w:r>
    </w:p>
    <w:p w14:paraId="263644D8">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筛选或设计对热历史高度敏感的稀土掺杂荧光材料体系，研究组分、掺杂浓度、缺陷等对不可逆荧光响应特性的调控机制。开发适用于高温合金基底的涂层制备工</w:t>
      </w:r>
      <w:r>
        <w:rPr>
          <w:rFonts w:hint="eastAsia" w:ascii="Times New Roman" w:hAnsi="Times New Roman" w:eastAsia="仿宋_GB2312" w:cs="Times New Roman"/>
          <w:sz w:val="30"/>
          <w:szCs w:val="30"/>
        </w:rPr>
        <w:t>艺</w:t>
      </w:r>
      <w:r>
        <w:rPr>
          <w:rFonts w:ascii="Times New Roman" w:hAnsi="Times New Roman" w:eastAsia="仿宋_GB2312" w:cs="Times New Roman"/>
          <w:sz w:val="30"/>
          <w:szCs w:val="30"/>
        </w:rPr>
        <w:t>，确保涂层均匀致密、初始荧光一致性好、结合强度高，并建立制备工艺规范。</w:t>
      </w:r>
    </w:p>
    <w:p w14:paraId="0503EB91">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2. 涂层热暴露演化规律及微观机理研究</w:t>
      </w:r>
    </w:p>
    <w:p w14:paraId="524C11BC">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开展宽温域（600~1</w:t>
      </w:r>
      <w:r>
        <w:rPr>
          <w:rFonts w:hint="eastAsia" w:ascii="Times New Roman" w:hAnsi="Times New Roman" w:eastAsia="仿宋_GB2312" w:cs="Times New Roman"/>
          <w:sz w:val="30"/>
          <w:szCs w:val="30"/>
        </w:rPr>
        <w:t>2</w:t>
      </w:r>
      <w:r>
        <w:rPr>
          <w:rFonts w:ascii="Times New Roman" w:hAnsi="Times New Roman" w:eastAsia="仿宋_GB2312" w:cs="Times New Roman"/>
          <w:sz w:val="30"/>
          <w:szCs w:val="30"/>
        </w:rPr>
        <w:t>00 ℃）和不同时间（0~1h）的静态与程序升温热暴露实验，系统测量荧光发射光谱、荧光寿命、强度比等多维光学参量的演化规律。揭示荧光不可逆变化的物理本质。</w:t>
      </w:r>
    </w:p>
    <w:p w14:paraId="6DACCAB4">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3. 测温原理与多参数解谱模型研究</w:t>
      </w:r>
    </w:p>
    <w:p w14:paraId="24076B62">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基于固态反应动力学理论和阿伦尼乌斯关系，建立描述荧光特征参数随温度T及时间t演化的统一动力学模型。发展能够处理非等温过程的热历史叠加算法，研究从单一或少数几次荧光测量中反演等效峰值温度、有效温度-时间历程的多参数联合解谱方法</w:t>
      </w:r>
    </w:p>
    <w:p w14:paraId="64954A3A">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4. 非接触式测温系统构建与实验验证</w:t>
      </w:r>
      <w:bookmarkStart w:id="4" w:name="_GoBack"/>
      <w:bookmarkEnd w:id="4"/>
    </w:p>
    <w:p w14:paraId="31058638">
      <w:pPr>
        <w:spacing w:line="560" w:lineRule="exact"/>
        <w:ind w:firstLine="600" w:firstLineChars="200"/>
        <w:rPr>
          <w:rFonts w:ascii="Times New Roman" w:hAnsi="Times New Roman" w:eastAsia="黑体" w:cs="Times New Roman"/>
          <w:sz w:val="30"/>
          <w:szCs w:val="30"/>
        </w:rPr>
      </w:pPr>
      <w:r>
        <w:rPr>
          <w:rFonts w:ascii="Times New Roman" w:hAnsi="Times New Roman" w:eastAsia="仿宋_GB2312" w:cs="Times New Roman"/>
          <w:sz w:val="30"/>
          <w:szCs w:val="30"/>
        </w:rPr>
        <w:t>搭建荧光寿命及光谱采集装置，实现对涂层表面温度的二维扫描测量。制备标准热历史涂层试件，在精密高温炉及模拟热风洞条件下开展热校准实验，系统考核测量精度、空间分辨率、重复性和可靠性。</w:t>
      </w:r>
    </w:p>
    <w:p w14:paraId="04646CCE">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1F63266A">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技术报告：包含涂层材料与制备工艺规范、热历史测温原理与动力学模型报告、验证实验对比分析报告及最终研究总结报告。</w:t>
      </w:r>
    </w:p>
    <w:p w14:paraId="413C2E85">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实物样品：提供不少于两种稳定配方的热历史涂层样件及涂覆标准试片，并在典型镍基高温合金基体上进行验证性涂覆。</w:t>
      </w:r>
    </w:p>
    <w:p w14:paraId="7537220B">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软件：热历史数据分析软件1套，具备荧光特征提取、模型拟合及等效热历史反演功能。</w:t>
      </w:r>
    </w:p>
    <w:p w14:paraId="16F67EED">
      <w:pPr>
        <w:spacing w:line="560" w:lineRule="exact"/>
        <w:ind w:firstLine="600" w:firstLineChars="200"/>
        <w:rPr>
          <w:rFonts w:ascii="Times New Roman" w:hAnsi="Times New Roman" w:eastAsia="黑体" w:cs="Times New Roman"/>
          <w:sz w:val="30"/>
          <w:szCs w:val="30"/>
        </w:rPr>
      </w:pPr>
      <w:r>
        <w:rPr>
          <w:rFonts w:ascii="Times New Roman" w:hAnsi="Times New Roman" w:eastAsia="仿宋_GB2312" w:cs="Times New Roman"/>
          <w:sz w:val="30"/>
          <w:szCs w:val="30"/>
        </w:rPr>
        <w:t>知识产权：申请国家发明专利3项。</w:t>
      </w:r>
    </w:p>
    <w:p w14:paraId="1FDA0BEB">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28E2D5B5">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测温温度范围：600 ℃ ~ 1200 ℃（最高温度）；</w:t>
      </w:r>
    </w:p>
    <w:p w14:paraId="47EBB3BB">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最高温度测量误差：</w:t>
      </w:r>
      <w:r>
        <w:rPr>
          <w:rFonts w:hint="eastAsia" w:ascii="Times New Roman" w:hAnsi="Times New Roman" w:eastAsia="仿宋_GB2312" w:cs="Times New Roman"/>
          <w:sz w:val="30"/>
          <w:szCs w:val="30"/>
        </w:rPr>
        <w:t>±</w:t>
      </w:r>
      <w:r>
        <w:rPr>
          <w:rFonts w:ascii="Times New Roman" w:hAnsi="Times New Roman" w:eastAsia="仿宋_GB2312" w:cs="Times New Roman"/>
          <w:sz w:val="30"/>
          <w:szCs w:val="30"/>
        </w:rPr>
        <w:t>10 ℃（在标准校准条件下）；</w:t>
      </w:r>
    </w:p>
    <w:p w14:paraId="7664D95A">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空间分辨率：成像模式下 ≤ 5mm；</w:t>
      </w:r>
    </w:p>
    <w:p w14:paraId="094234DD">
      <w:pPr>
        <w:spacing w:line="560" w:lineRule="exact"/>
        <w:ind w:firstLine="600" w:firstLineChars="200"/>
        <w:rPr>
          <w:rFonts w:ascii="Times New Roman" w:hAnsi="Times New Roman" w:eastAsia="仿宋_GB2312" w:cs="Times New Roman"/>
          <w:sz w:val="30"/>
          <w:szCs w:val="30"/>
        </w:rPr>
      </w:pPr>
      <w:r>
        <w:rPr>
          <w:rFonts w:ascii="Times New Roman" w:hAnsi="Times New Roman" w:eastAsia="仿宋_GB2312" w:cs="Times New Roman"/>
          <w:sz w:val="30"/>
          <w:szCs w:val="30"/>
        </w:rPr>
        <w:t>测温重复性：在相同热历史下多次测量结果标准差≤ 10℃。</w:t>
      </w:r>
    </w:p>
    <w:p w14:paraId="726CC7E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研究周期：2</w:t>
      </w:r>
      <w:r>
        <w:rPr>
          <w:rFonts w:ascii="Times New Roman" w:hAnsi="Times New Roman" w:eastAsia="黑体" w:cs="Times New Roman"/>
          <w:sz w:val="30"/>
          <w:szCs w:val="30"/>
        </w:rPr>
        <w:t>4</w:t>
      </w:r>
      <w:r>
        <w:rPr>
          <w:rFonts w:hint="eastAsia" w:ascii="Times New Roman" w:hAnsi="Times New Roman" w:eastAsia="黑体" w:cs="Times New Roman"/>
          <w:sz w:val="30"/>
          <w:szCs w:val="30"/>
        </w:rPr>
        <w:t>个月</w:t>
      </w:r>
    </w:p>
    <w:p w14:paraId="52335021">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w:t>
      </w:r>
      <w:r>
        <w:rPr>
          <w:rFonts w:ascii="Times New Roman" w:hAnsi="Times New Roman" w:eastAsia="黑体" w:cs="Times New Roman"/>
          <w:sz w:val="30"/>
          <w:szCs w:val="30"/>
        </w:rPr>
        <w:t>80</w:t>
      </w:r>
      <w:r>
        <w:rPr>
          <w:rFonts w:hint="eastAsia" w:ascii="Times New Roman" w:hAnsi="Times New Roman" w:eastAsia="黑体" w:cs="Times New Roman"/>
          <w:sz w:val="30"/>
          <w:szCs w:val="30"/>
        </w:rPr>
        <w:t>万元</w:t>
      </w:r>
    </w:p>
    <w:p w14:paraId="6C49931E">
      <w:pPr>
        <w:widowControl/>
        <w:jc w:val="left"/>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6BB15A53">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4</w:t>
      </w:r>
      <w:r>
        <w:rPr>
          <w:rFonts w:ascii="Times New Roman" w:hAnsi="Times New Roman" w:eastAsia="黑体" w:cs="Times New Roman"/>
          <w:sz w:val="30"/>
          <w:szCs w:val="30"/>
        </w:rPr>
        <w:t>.</w:t>
      </w:r>
      <w:r>
        <w:rPr>
          <w:rFonts w:hint="eastAsia" w:ascii="Times New Roman" w:hAnsi="Times New Roman" w:eastAsia="黑体" w:cs="Times New Roman"/>
          <w:sz w:val="30"/>
          <w:szCs w:val="30"/>
        </w:rPr>
        <w:t>基于分布式</w:t>
      </w:r>
      <w:r>
        <w:rPr>
          <w:rFonts w:ascii="Times New Roman" w:hAnsi="Times New Roman" w:eastAsia="黑体" w:cs="Times New Roman"/>
          <w:sz w:val="30"/>
          <w:szCs w:val="30"/>
        </w:rPr>
        <w:t>ADRC的重型燃机多变量解耦控制技术研究</w:t>
      </w:r>
    </w:p>
    <w:p w14:paraId="51EB23C1">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KF01-004</w:t>
      </w:r>
    </w:p>
    <w:p w14:paraId="7C04CE2B">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研究目标：</w:t>
      </w:r>
      <w:r>
        <w:rPr>
          <w:rFonts w:hint="eastAsia" w:ascii="仿宋_GB2312" w:hAnsi="Times New Roman" w:eastAsia="仿宋_GB2312"/>
          <w:sz w:val="30"/>
          <w:szCs w:val="30"/>
        </w:rPr>
        <w:t>研究基于分布式ADRC的多变量解耦控制技术，实现重型燃气轮机的转速、功率、排气温度、燃气压力等多变量协同控制，克服传统</w:t>
      </w:r>
      <w:r>
        <w:rPr>
          <w:rFonts w:ascii="仿宋_GB2312" w:hAnsi="Times New Roman" w:eastAsia="仿宋_GB2312"/>
          <w:sz w:val="30"/>
          <w:szCs w:val="30"/>
        </w:rPr>
        <w:t>PI控制在强耦合、非线性对象</w:t>
      </w:r>
      <w:r>
        <w:rPr>
          <w:rFonts w:hint="eastAsia" w:ascii="仿宋_GB2312" w:hAnsi="Times New Roman" w:eastAsia="仿宋_GB2312"/>
          <w:sz w:val="30"/>
          <w:szCs w:val="30"/>
        </w:rPr>
        <w:t>控制方面的局限性，有效解决兼顾超调量和快速性的矛盾，提升控制系统的动态响应速度、抗扰动能力及对工况变化的适应性，充分发挥燃气轮机的快速起动能力和快速变负荷能力，为满足发电领域对重型燃机灵活性运行的需求提供技术支撑。</w:t>
      </w:r>
    </w:p>
    <w:p w14:paraId="4CDD0132">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33E21563">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1</w:t>
      </w:r>
      <w:r>
        <w:rPr>
          <w:rFonts w:ascii="仿宋_GB2312" w:hAnsi="Times New Roman" w:eastAsia="仿宋_GB2312"/>
          <w:sz w:val="30"/>
          <w:szCs w:val="30"/>
        </w:rPr>
        <w:t>.</w:t>
      </w:r>
      <w:r>
        <w:rPr>
          <w:rFonts w:hint="eastAsia" w:ascii="仿宋_GB2312" w:hAnsi="Times New Roman" w:eastAsia="仿宋_GB2312"/>
          <w:sz w:val="30"/>
          <w:szCs w:val="30"/>
        </w:rPr>
        <w:t>重型燃机核心控制参数灵敏度分析研究</w:t>
      </w:r>
    </w:p>
    <w:p w14:paraId="365DEBB2">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建立满足灵敏度分析要求的非线性动态模型；根据运行控制要求，识别重型燃气轮机核心控制参数，包括被控量和控制量；制定敏感度分析指标，量化各控制量对被控量的影响程度；确定各被控量关联性最强的控制量。</w:t>
      </w:r>
    </w:p>
    <w:p w14:paraId="6FD343E0">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2</w:t>
      </w:r>
      <w:r>
        <w:rPr>
          <w:rFonts w:ascii="仿宋_GB2312" w:hAnsi="Times New Roman" w:eastAsia="仿宋_GB2312"/>
          <w:sz w:val="30"/>
          <w:szCs w:val="30"/>
        </w:rPr>
        <w:t>.</w:t>
      </w:r>
      <w:r>
        <w:rPr>
          <w:rFonts w:hint="eastAsia" w:ascii="仿宋_GB2312" w:hAnsi="Times New Roman" w:eastAsia="仿宋_GB2312"/>
          <w:sz w:val="30"/>
          <w:szCs w:val="30"/>
        </w:rPr>
        <w:t>基于分布式ADRC的多变量解耦控制技术研究</w:t>
      </w:r>
    </w:p>
    <w:p w14:paraId="53F8D290">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基于敏感性分析结果，设计分布式ADRC控制方案，实现多变量解耦控制。基于多目标优化算法，实现分布式ADRC控制方案参数整定；开展鲁棒性分析，验证分布式ADRC在不同程度外扰条件下的控制稳定性。</w:t>
      </w:r>
    </w:p>
    <w:p w14:paraId="6CA03A70">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3</w:t>
      </w:r>
      <w:r>
        <w:rPr>
          <w:rFonts w:ascii="仿宋_GB2312" w:hAnsi="Times New Roman" w:eastAsia="仿宋_GB2312"/>
          <w:sz w:val="30"/>
          <w:szCs w:val="30"/>
        </w:rPr>
        <w:t>.</w:t>
      </w:r>
      <w:r>
        <w:rPr>
          <w:rFonts w:hint="eastAsia" w:ascii="仿宋_GB2312" w:hAnsi="Times New Roman" w:eastAsia="仿宋_GB2312"/>
          <w:sz w:val="30"/>
          <w:szCs w:val="30"/>
        </w:rPr>
        <w:t>多变量解耦控制技术仿真验证</w:t>
      </w:r>
    </w:p>
    <w:p w14:paraId="135D8353">
      <w:pPr>
        <w:spacing w:line="560" w:lineRule="exact"/>
        <w:ind w:firstLine="600" w:firstLineChars="200"/>
        <w:rPr>
          <w:rFonts w:ascii="Times New Roman" w:hAnsi="Times New Roman" w:eastAsia="黑体" w:cs="Times New Roman"/>
          <w:sz w:val="30"/>
          <w:szCs w:val="30"/>
        </w:rPr>
      </w:pPr>
      <w:r>
        <w:rPr>
          <w:rFonts w:hint="eastAsia" w:ascii="仿宋_GB2312" w:hAnsi="Times New Roman" w:eastAsia="仿宋_GB2312"/>
          <w:sz w:val="30"/>
          <w:szCs w:val="30"/>
        </w:rPr>
        <w:t>搭建多变量仿真验证环境，开发外部扰动植入接口；设置涵盖快速启动、快速变负荷的仿真验证工况；评估动态响应（调节时间、超调量）和抗扰性能等方面的控制效果。</w:t>
      </w:r>
    </w:p>
    <w:p w14:paraId="38D7DB1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13EDB2D4">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1</w:t>
      </w:r>
      <w:r>
        <w:rPr>
          <w:rFonts w:ascii="仿宋_GB2312" w:hAnsi="Times New Roman" w:eastAsia="仿宋_GB2312"/>
          <w:sz w:val="30"/>
          <w:szCs w:val="30"/>
        </w:rPr>
        <w:t>.</w:t>
      </w:r>
      <w:r>
        <w:rPr>
          <w:rFonts w:hint="eastAsia" w:ascii="仿宋_GB2312" w:hAnsi="Times New Roman" w:eastAsia="仿宋_GB2312"/>
          <w:sz w:val="30"/>
          <w:szCs w:val="30"/>
        </w:rPr>
        <w:t>基于分布式ADRC的多变量解耦控制电子样机（源码）。</w:t>
      </w:r>
    </w:p>
    <w:p w14:paraId="7853C25B">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2.</w:t>
      </w:r>
      <w:r>
        <w:rPr>
          <w:rFonts w:hint="eastAsia" w:ascii="仿宋_GB2312" w:hAnsi="Times New Roman" w:eastAsia="仿宋_GB2312"/>
          <w:sz w:val="30"/>
          <w:szCs w:val="30"/>
        </w:rPr>
        <w:t>基于分布式ADRC的重型燃机多变量解耦控制技术研究报告、项目总结报告。</w:t>
      </w:r>
    </w:p>
    <w:p w14:paraId="288250A7">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3</w:t>
      </w:r>
      <w:r>
        <w:rPr>
          <w:rFonts w:ascii="仿宋_GB2312" w:hAnsi="Times New Roman" w:eastAsia="仿宋_GB2312"/>
          <w:sz w:val="30"/>
          <w:szCs w:val="30"/>
        </w:rPr>
        <w:t>.</w:t>
      </w:r>
      <w:r>
        <w:rPr>
          <w:rFonts w:hint="eastAsia" w:ascii="仿宋_GB2312" w:hAnsi="Times New Roman" w:eastAsia="仿宋_GB2312"/>
          <w:sz w:val="30"/>
          <w:szCs w:val="30"/>
        </w:rPr>
        <w:t>申请专利1项，登记软著1项，发表中文核心以上论文1篇。</w:t>
      </w:r>
    </w:p>
    <w:p w14:paraId="59ADE550">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6F1059BA">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1</w:t>
      </w:r>
      <w:r>
        <w:rPr>
          <w:rFonts w:ascii="仿宋_GB2312" w:hAnsi="Times New Roman" w:eastAsia="仿宋_GB2312"/>
          <w:sz w:val="30"/>
          <w:szCs w:val="30"/>
        </w:rPr>
        <w:t>.</w:t>
      </w:r>
      <w:r>
        <w:rPr>
          <w:rFonts w:hint="eastAsia" w:ascii="仿宋_GB2312" w:hAnsi="Times New Roman" w:eastAsia="仿宋_GB2312"/>
          <w:sz w:val="30"/>
          <w:szCs w:val="30"/>
        </w:rPr>
        <w:t>快速启动过程中，转速控制的超调量＜</w:t>
      </w:r>
      <w:r>
        <w:rPr>
          <w:rFonts w:ascii="仿宋_GB2312" w:hAnsi="Times New Roman" w:eastAsia="仿宋_GB2312"/>
          <w:sz w:val="30"/>
          <w:szCs w:val="30"/>
        </w:rPr>
        <w:t>8</w:t>
      </w:r>
      <w:r>
        <w:rPr>
          <w:rFonts w:hint="eastAsia" w:ascii="仿宋_GB2312" w:hAnsi="Times New Roman" w:eastAsia="仿宋_GB2312"/>
          <w:sz w:val="30"/>
          <w:szCs w:val="30"/>
        </w:rPr>
        <w:t>%，调节时间＜1</w:t>
      </w:r>
      <w:r>
        <w:rPr>
          <w:rFonts w:ascii="仿宋_GB2312" w:hAnsi="Times New Roman" w:eastAsia="仿宋_GB2312"/>
          <w:sz w:val="30"/>
          <w:szCs w:val="30"/>
        </w:rPr>
        <w:t>0</w:t>
      </w:r>
      <w:r>
        <w:rPr>
          <w:rFonts w:hint="eastAsia" w:ascii="仿宋_GB2312" w:hAnsi="Times New Roman" w:eastAsia="仿宋_GB2312"/>
          <w:sz w:val="30"/>
          <w:szCs w:val="30"/>
        </w:rPr>
        <w:t>s。</w:t>
      </w:r>
    </w:p>
    <w:p w14:paraId="3E1995D7">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2</w:t>
      </w:r>
      <w:r>
        <w:rPr>
          <w:rFonts w:ascii="仿宋_GB2312" w:hAnsi="Times New Roman" w:eastAsia="仿宋_GB2312"/>
          <w:sz w:val="30"/>
          <w:szCs w:val="30"/>
        </w:rPr>
        <w:t>.</w:t>
      </w:r>
      <w:r>
        <w:rPr>
          <w:rFonts w:hint="eastAsia" w:ascii="仿宋_GB2312" w:hAnsi="Times New Roman" w:eastAsia="仿宋_GB2312"/>
          <w:sz w:val="30"/>
          <w:szCs w:val="30"/>
        </w:rPr>
        <w:t>快速变负荷过程中，负荷控制的超调量＜</w:t>
      </w:r>
      <w:r>
        <w:rPr>
          <w:rFonts w:ascii="仿宋_GB2312" w:hAnsi="Times New Roman" w:eastAsia="仿宋_GB2312"/>
          <w:sz w:val="30"/>
          <w:szCs w:val="30"/>
        </w:rPr>
        <w:t>8%</w:t>
      </w:r>
      <w:r>
        <w:rPr>
          <w:rFonts w:hint="eastAsia" w:ascii="仿宋_GB2312" w:hAnsi="Times New Roman" w:eastAsia="仿宋_GB2312"/>
          <w:sz w:val="30"/>
          <w:szCs w:val="30"/>
        </w:rPr>
        <w:t>，温度控制的超调量＜</w:t>
      </w:r>
      <w:r>
        <w:rPr>
          <w:rFonts w:ascii="仿宋_GB2312" w:hAnsi="Times New Roman" w:eastAsia="仿宋_GB2312"/>
          <w:sz w:val="30"/>
          <w:szCs w:val="30"/>
        </w:rPr>
        <w:t>10℃</w:t>
      </w:r>
      <w:r>
        <w:rPr>
          <w:rFonts w:hint="eastAsia" w:ascii="仿宋_GB2312" w:hAnsi="Times New Roman" w:eastAsia="仿宋_GB2312"/>
          <w:sz w:val="30"/>
          <w:szCs w:val="30"/>
        </w:rPr>
        <w:t>。</w:t>
      </w:r>
    </w:p>
    <w:p w14:paraId="068B16B6">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3</w:t>
      </w:r>
      <w:r>
        <w:rPr>
          <w:rFonts w:ascii="仿宋_GB2312" w:hAnsi="Times New Roman" w:eastAsia="仿宋_GB2312"/>
          <w:sz w:val="30"/>
          <w:szCs w:val="30"/>
        </w:rPr>
        <w:t>.</w:t>
      </w:r>
      <w:r>
        <w:rPr>
          <w:rFonts w:hint="eastAsia" w:ascii="仿宋_GB2312" w:hAnsi="Times New Roman" w:eastAsia="仿宋_GB2312"/>
          <w:sz w:val="30"/>
          <w:szCs w:val="30"/>
        </w:rPr>
        <w:t>抗外扰测试中，调节时间＜</w:t>
      </w:r>
      <w:r>
        <w:rPr>
          <w:rFonts w:ascii="仿宋_GB2312" w:hAnsi="Times New Roman" w:eastAsia="仿宋_GB2312"/>
          <w:sz w:val="30"/>
          <w:szCs w:val="30"/>
        </w:rPr>
        <w:t>10</w:t>
      </w:r>
      <w:r>
        <w:rPr>
          <w:rFonts w:hint="eastAsia" w:ascii="仿宋_GB2312" w:hAnsi="Times New Roman" w:eastAsia="仿宋_GB2312"/>
          <w:sz w:val="30"/>
          <w:szCs w:val="30"/>
        </w:rPr>
        <w:t>s，转速、排气温度和负荷等关键参数最大偏差＜</w:t>
      </w:r>
      <w:r>
        <w:rPr>
          <w:rFonts w:ascii="仿宋_GB2312" w:hAnsi="Times New Roman" w:eastAsia="仿宋_GB2312"/>
          <w:sz w:val="30"/>
          <w:szCs w:val="30"/>
        </w:rPr>
        <w:t>8</w:t>
      </w:r>
      <w:r>
        <w:rPr>
          <w:rFonts w:hint="eastAsia" w:ascii="仿宋_GB2312" w:hAnsi="Times New Roman" w:eastAsia="仿宋_GB2312"/>
          <w:sz w:val="30"/>
          <w:szCs w:val="30"/>
        </w:rPr>
        <w:t>%。</w:t>
      </w:r>
    </w:p>
    <w:p w14:paraId="06934F0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w:t>
      </w:r>
      <w:r>
        <w:rPr>
          <w:rFonts w:ascii="Times New Roman" w:hAnsi="Times New Roman" w:eastAsia="黑体" w:cs="Times New Roman"/>
          <w:sz w:val="30"/>
          <w:szCs w:val="30"/>
        </w:rPr>
        <w:t>18</w:t>
      </w:r>
      <w:r>
        <w:rPr>
          <w:rFonts w:hint="eastAsia" w:ascii="Times New Roman" w:hAnsi="Times New Roman" w:eastAsia="黑体" w:cs="Times New Roman"/>
          <w:sz w:val="30"/>
          <w:szCs w:val="30"/>
        </w:rPr>
        <w:t>个月</w:t>
      </w:r>
    </w:p>
    <w:p w14:paraId="29820202">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w:t>
      </w:r>
      <w:r>
        <w:rPr>
          <w:rFonts w:ascii="Times New Roman" w:hAnsi="Times New Roman" w:eastAsia="黑体" w:cs="Times New Roman"/>
          <w:sz w:val="30"/>
          <w:szCs w:val="30"/>
        </w:rPr>
        <w:t>50</w:t>
      </w:r>
      <w:r>
        <w:rPr>
          <w:rFonts w:hint="eastAsia" w:ascii="Times New Roman" w:hAnsi="Times New Roman" w:eastAsia="黑体" w:cs="Times New Roman"/>
          <w:sz w:val="30"/>
          <w:szCs w:val="30"/>
        </w:rPr>
        <w:t>万元</w:t>
      </w:r>
    </w:p>
    <w:p w14:paraId="55BA5AD8">
      <w:pPr>
        <w:ind w:firstLine="600" w:firstLineChars="200"/>
        <w:rPr>
          <w:rFonts w:ascii="Times New Roman" w:hAnsi="Times New Roman" w:eastAsia="黑体" w:cs="Times New Roman"/>
          <w:sz w:val="30"/>
          <w:szCs w:val="30"/>
        </w:rPr>
      </w:pPr>
    </w:p>
    <w:p w14:paraId="60CAE95A">
      <w:pPr>
        <w:widowControl/>
        <w:jc w:val="left"/>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04E666A9">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5</w:t>
      </w:r>
      <w:r>
        <w:rPr>
          <w:rFonts w:ascii="Times New Roman" w:hAnsi="Times New Roman" w:eastAsia="黑体" w:cs="Times New Roman"/>
          <w:sz w:val="30"/>
          <w:szCs w:val="30"/>
        </w:rPr>
        <w:t>.</w:t>
      </w:r>
      <w:r>
        <w:rPr>
          <w:rFonts w:hint="eastAsia" w:ascii="Times New Roman" w:hAnsi="Times New Roman" w:eastAsia="黑体" w:cs="Times New Roman"/>
          <w:sz w:val="30"/>
          <w:szCs w:val="30"/>
        </w:rPr>
        <w:t>热等静压（</w:t>
      </w:r>
      <w:r>
        <w:rPr>
          <w:rFonts w:ascii="Times New Roman" w:hAnsi="Times New Roman" w:eastAsia="黑体" w:cs="Times New Roman"/>
          <w:sz w:val="30"/>
          <w:szCs w:val="30"/>
        </w:rPr>
        <w:t>HIP）+恢复热处理（RHT）技术对燃气轮机透平叶片微裂纹及蠕变损伤的影响</w:t>
      </w:r>
      <w:r>
        <w:rPr>
          <w:rFonts w:hint="eastAsia" w:ascii="Times New Roman" w:hAnsi="Times New Roman" w:eastAsia="黑体" w:cs="Times New Roman"/>
          <w:sz w:val="30"/>
          <w:szCs w:val="30"/>
        </w:rPr>
        <w:t>研究</w:t>
      </w:r>
    </w:p>
    <w:p w14:paraId="370078FC">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KF01-005</w:t>
      </w:r>
    </w:p>
    <w:p w14:paraId="3F4F4B50">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研究目标：</w:t>
      </w:r>
      <w:r>
        <w:rPr>
          <w:rFonts w:hint="eastAsia" w:ascii="仿宋_GB2312" w:hAnsi="Times New Roman" w:eastAsia="仿宋_GB2312" w:cs="宋体"/>
          <w:sz w:val="30"/>
          <w:szCs w:val="30"/>
        </w:rPr>
        <w:t>以重型燃气轮机透平叶片用</w:t>
      </w:r>
      <w:r>
        <w:rPr>
          <w:rFonts w:ascii="仿宋_GB2312" w:hAnsi="Times New Roman" w:eastAsia="仿宋_GB2312" w:cs="宋体"/>
          <w:sz w:val="30"/>
          <w:szCs w:val="30"/>
        </w:rPr>
        <w:t>UGTC47（或UGTC48）高温合金为研究对象，系统揭示热等静压（HIP）+恢复热处理（RHT）联合技术修复透平叶片微裂纹及蠕变损伤的微观机制。建立HIP+RHT联合修复的工艺-组织-性能量化映射关系模型，最终提出透平叶片微裂纹及蠕变损伤的可修复性定量判定准则。</w:t>
      </w:r>
    </w:p>
    <w:p w14:paraId="22936286">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6B83CD7E">
      <w:pPr>
        <w:ind w:firstLine="600" w:firstLineChars="200"/>
        <w:rPr>
          <w:rFonts w:ascii="仿宋_GB2312" w:hAnsi="Times New Roman" w:eastAsia="仿宋_GB2312" w:cs="宋体"/>
          <w:sz w:val="30"/>
          <w:szCs w:val="30"/>
        </w:rPr>
      </w:pPr>
      <w:r>
        <w:rPr>
          <w:rFonts w:ascii="仿宋_GB2312" w:hAnsi="Times New Roman" w:eastAsia="仿宋_GB2312" w:cs="宋体"/>
          <w:sz w:val="30"/>
          <w:szCs w:val="30"/>
        </w:rPr>
        <w:t>1.制备模拟损伤试样，针对轻、中度损伤开展试验研究，重度损伤结合文献数据对比分析。采集叶片微裂纹、蠕变空洞、γ′相退化等关键微观参数，搭建损伤叶片多尺度显微组织初始数据库。</w:t>
      </w:r>
    </w:p>
    <w:p w14:paraId="6BFB5984">
      <w:pPr>
        <w:ind w:firstLine="600" w:firstLineChars="200"/>
        <w:rPr>
          <w:rFonts w:ascii="仿宋_GB2312" w:hAnsi="Times New Roman" w:eastAsia="仿宋_GB2312" w:cs="宋体"/>
          <w:sz w:val="30"/>
          <w:szCs w:val="30"/>
        </w:rPr>
      </w:pPr>
      <w:r>
        <w:rPr>
          <w:rFonts w:ascii="仿宋_GB2312" w:hAnsi="Times New Roman" w:eastAsia="仿宋_GB2312" w:cs="宋体"/>
          <w:sz w:val="30"/>
          <w:szCs w:val="30"/>
        </w:rPr>
        <w:t xml:space="preserve">2. 通过正交试验探究HIP工艺参数对叶片微裂纹、蠕变空洞的愈合作用规律，结合微观表征与有限元模拟，从应力场、原子扩散角度揭示损伤愈合微观机制。在此基础上，开展固溶温度、时效时间交叉热处理试验，结合热力学计算，探究RHT对γ′相演化、再结晶行为的调控机制。 </w:t>
      </w:r>
    </w:p>
    <w:p w14:paraId="3DCD899D">
      <w:pPr>
        <w:ind w:firstLine="600" w:firstLineChars="200"/>
        <w:rPr>
          <w:rFonts w:ascii="Times New Roman" w:hAnsi="Times New Roman" w:eastAsia="黑体" w:cs="Times New Roman"/>
          <w:sz w:val="30"/>
          <w:szCs w:val="30"/>
        </w:rPr>
      </w:pPr>
      <w:r>
        <w:rPr>
          <w:rFonts w:ascii="仿宋_GB2312" w:hAnsi="Times New Roman" w:eastAsia="仿宋_GB2312" w:cs="宋体"/>
          <w:sz w:val="30"/>
          <w:szCs w:val="30"/>
        </w:rPr>
        <w:t>3.开展高温拉伸、高温持久、疲劳等力学性能测试，评估不同联合工艺的修复效果。基于核心损伤变量，建立叶片损伤可修复性定量判定标准。</w:t>
      </w:r>
    </w:p>
    <w:p w14:paraId="2A5A5244">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55C85E60">
      <w:pPr>
        <w:ind w:firstLine="600" w:firstLineChars="200"/>
        <w:rPr>
          <w:rFonts w:ascii="仿宋_GB2312" w:hAnsi="Times New Roman" w:eastAsia="仿宋_GB2312" w:cs="宋体"/>
          <w:sz w:val="30"/>
          <w:szCs w:val="30"/>
        </w:rPr>
      </w:pPr>
      <w:r>
        <w:rPr>
          <w:rFonts w:ascii="仿宋_GB2312" w:hAnsi="Times New Roman" w:eastAsia="仿宋_GB2312" w:cs="宋体"/>
          <w:sz w:val="30"/>
          <w:szCs w:val="30"/>
        </w:rPr>
        <w:t>1.服役损伤透平叶片微裂纹及蠕变损伤表征研究报告；</w:t>
      </w:r>
    </w:p>
    <w:p w14:paraId="646F43AD">
      <w:pPr>
        <w:ind w:firstLine="600" w:firstLineChars="200"/>
        <w:rPr>
          <w:rFonts w:ascii="仿宋_GB2312" w:hAnsi="Times New Roman" w:eastAsia="仿宋_GB2312" w:cs="宋体"/>
          <w:sz w:val="30"/>
          <w:szCs w:val="30"/>
        </w:rPr>
      </w:pPr>
      <w:r>
        <w:rPr>
          <w:rFonts w:ascii="仿宋_GB2312" w:hAnsi="Times New Roman" w:eastAsia="仿宋_GB2312" w:cs="宋体"/>
          <w:sz w:val="30"/>
          <w:szCs w:val="30"/>
        </w:rPr>
        <w:t>2.HIP对微裂纹及蠕变空洞愈合机制研究报告；</w:t>
      </w:r>
    </w:p>
    <w:p w14:paraId="0B1C38DD">
      <w:pPr>
        <w:ind w:firstLine="600" w:firstLineChars="200"/>
        <w:rPr>
          <w:rFonts w:ascii="仿宋_GB2312" w:hAnsi="Times New Roman" w:eastAsia="仿宋_GB2312" w:cs="宋体"/>
          <w:sz w:val="30"/>
          <w:szCs w:val="30"/>
        </w:rPr>
      </w:pPr>
      <w:r>
        <w:rPr>
          <w:rFonts w:ascii="仿宋_GB2312" w:hAnsi="Times New Roman" w:eastAsia="仿宋_GB2312" w:cs="宋体"/>
          <w:sz w:val="30"/>
          <w:szCs w:val="30"/>
        </w:rPr>
        <w:t xml:space="preserve">3.RHT对损伤组织恢复的调控机制研究报告； </w:t>
      </w:r>
    </w:p>
    <w:p w14:paraId="6C5CA3AE">
      <w:pPr>
        <w:ind w:firstLine="600" w:firstLineChars="200"/>
        <w:rPr>
          <w:rFonts w:ascii="仿宋_GB2312" w:hAnsi="Times New Roman" w:eastAsia="仿宋_GB2312" w:cs="宋体"/>
          <w:sz w:val="30"/>
          <w:szCs w:val="30"/>
        </w:rPr>
      </w:pPr>
      <w:r>
        <w:rPr>
          <w:rFonts w:ascii="仿宋_GB2312" w:hAnsi="Times New Roman" w:eastAsia="仿宋_GB2312" w:cs="宋体"/>
          <w:sz w:val="30"/>
          <w:szCs w:val="30"/>
        </w:rPr>
        <w:t>4.透平叶片微裂纹及蠕变损伤可修复性判定准则；</w:t>
      </w:r>
    </w:p>
    <w:p w14:paraId="0D750AAA">
      <w:pPr>
        <w:ind w:firstLine="600" w:firstLineChars="200"/>
        <w:rPr>
          <w:rFonts w:ascii="仿宋_GB2312" w:hAnsi="Times New Roman" w:eastAsia="仿宋_GB2312" w:cs="宋体"/>
          <w:sz w:val="30"/>
          <w:szCs w:val="30"/>
        </w:rPr>
      </w:pPr>
      <w:r>
        <w:rPr>
          <w:rFonts w:ascii="仿宋_GB2312" w:hAnsi="Times New Roman" w:eastAsia="仿宋_GB2312" w:cs="宋体"/>
          <w:sz w:val="30"/>
          <w:szCs w:val="30"/>
        </w:rPr>
        <w:t>5.HIP+RHT修复典型试样及性能测试报告；</w:t>
      </w:r>
    </w:p>
    <w:p w14:paraId="3C1A00C2">
      <w:pPr>
        <w:ind w:firstLine="600" w:firstLineChars="200"/>
        <w:rPr>
          <w:rFonts w:ascii="仿宋_GB2312" w:hAnsi="Times New Roman" w:eastAsia="仿宋_GB2312" w:cs="宋体"/>
          <w:sz w:val="30"/>
          <w:szCs w:val="30"/>
        </w:rPr>
      </w:pPr>
      <w:r>
        <w:rPr>
          <w:rFonts w:ascii="仿宋_GB2312" w:hAnsi="Times New Roman" w:eastAsia="仿宋_GB2312" w:cs="宋体"/>
          <w:sz w:val="30"/>
          <w:szCs w:val="30"/>
        </w:rPr>
        <w:t>6.申报国家发明专利不少于 1项，发表论文不少于2篇。</w:t>
      </w:r>
    </w:p>
    <w:p w14:paraId="7E963CC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6AD2E196">
      <w:pPr>
        <w:ind w:firstLine="600" w:firstLineChars="200"/>
        <w:rPr>
          <w:rFonts w:ascii="仿宋_GB2312" w:hAnsi="Times New Roman" w:eastAsia="仿宋_GB2312" w:cs="宋体"/>
          <w:sz w:val="30"/>
          <w:szCs w:val="30"/>
        </w:rPr>
      </w:pPr>
      <w:r>
        <w:rPr>
          <w:rFonts w:hint="eastAsia" w:ascii="仿宋_GB2312" w:hAnsi="Times New Roman" w:eastAsia="仿宋_GB2312" w:cs="宋体"/>
          <w:sz w:val="30"/>
          <w:szCs w:val="30"/>
        </w:rPr>
        <w:t>（</w:t>
      </w:r>
      <w:r>
        <w:rPr>
          <w:rFonts w:ascii="仿宋_GB2312" w:hAnsi="Times New Roman" w:eastAsia="仿宋_GB2312" w:cs="宋体"/>
          <w:sz w:val="30"/>
          <w:szCs w:val="30"/>
        </w:rPr>
        <w:t xml:space="preserve">1）揭示HIP温度、压力、时间对≤50μm表面/近表面微裂纹愈合率的影响规律，实现裂纹愈合率≥90%，建立三参数与愈合率定量回归或响应曲面模型； </w:t>
      </w:r>
    </w:p>
    <w:p w14:paraId="55E0E402">
      <w:pPr>
        <w:ind w:firstLine="600" w:firstLineChars="200"/>
        <w:rPr>
          <w:rFonts w:ascii="仿宋_GB2312" w:hAnsi="Times New Roman" w:eastAsia="仿宋_GB2312" w:cs="宋体"/>
          <w:sz w:val="30"/>
          <w:szCs w:val="30"/>
        </w:rPr>
      </w:pPr>
      <w:r>
        <w:rPr>
          <w:rFonts w:hint="eastAsia" w:ascii="仿宋_GB2312" w:hAnsi="Times New Roman" w:eastAsia="仿宋_GB2312" w:cs="宋体"/>
          <w:sz w:val="30"/>
          <w:szCs w:val="30"/>
        </w:rPr>
        <w:t>（</w:t>
      </w:r>
      <w:r>
        <w:rPr>
          <w:rFonts w:ascii="仿宋_GB2312" w:hAnsi="Times New Roman" w:eastAsia="仿宋_GB2312" w:cs="宋体"/>
          <w:sz w:val="30"/>
          <w:szCs w:val="30"/>
        </w:rPr>
        <w:t>2）建立RHT工艺与γ′相特征定量关系，修复后γ′相平均尺寸0.3-0.8μm、体积分数≥原始未损伤态95%、长径比≤1.5；构建HIP+RHT工艺 组织 性能映射模型，900℃持久寿命预测误差≤±20%。</w:t>
      </w:r>
    </w:p>
    <w:p w14:paraId="7E7BCDE9">
      <w:pPr>
        <w:ind w:firstLine="600" w:firstLineChars="200"/>
        <w:rPr>
          <w:rFonts w:ascii="Times New Roman" w:hAnsi="Times New Roman" w:eastAsia="黑体" w:cs="Times New Roman"/>
          <w:sz w:val="30"/>
          <w:szCs w:val="30"/>
        </w:rPr>
      </w:pPr>
      <w:r>
        <w:rPr>
          <w:rFonts w:hint="eastAsia" w:ascii="仿宋_GB2312" w:hAnsi="Times New Roman" w:eastAsia="仿宋_GB2312" w:cs="宋体"/>
          <w:sz w:val="30"/>
          <w:szCs w:val="30"/>
        </w:rPr>
        <w:t>（</w:t>
      </w:r>
      <w:r>
        <w:rPr>
          <w:rFonts w:ascii="仿宋_GB2312" w:hAnsi="Times New Roman" w:eastAsia="仿宋_GB2312" w:cs="宋体"/>
          <w:sz w:val="30"/>
          <w:szCs w:val="30"/>
        </w:rPr>
        <w:t>3）提出透平叶片微裂纹、蠕变损伤可修复性定量判定准则，明确可修复、不可修复临界阈值。</w:t>
      </w:r>
    </w:p>
    <w:p w14:paraId="5F1A4A7F">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研究周期：2</w:t>
      </w:r>
      <w:r>
        <w:rPr>
          <w:rFonts w:ascii="Times New Roman" w:hAnsi="Times New Roman" w:eastAsia="黑体" w:cs="Times New Roman"/>
          <w:sz w:val="30"/>
          <w:szCs w:val="30"/>
        </w:rPr>
        <w:t>4</w:t>
      </w:r>
      <w:r>
        <w:rPr>
          <w:rFonts w:hint="eastAsia" w:ascii="Times New Roman" w:hAnsi="Times New Roman" w:eastAsia="黑体" w:cs="Times New Roman"/>
          <w:sz w:val="30"/>
          <w:szCs w:val="30"/>
        </w:rPr>
        <w:t>个月</w:t>
      </w:r>
    </w:p>
    <w:p w14:paraId="08E3823E">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w:t>
      </w:r>
      <w:r>
        <w:rPr>
          <w:rFonts w:ascii="Times New Roman" w:hAnsi="Times New Roman" w:eastAsia="黑体" w:cs="Times New Roman"/>
          <w:sz w:val="30"/>
          <w:szCs w:val="30"/>
        </w:rPr>
        <w:t>75</w:t>
      </w:r>
      <w:r>
        <w:rPr>
          <w:rFonts w:hint="eastAsia" w:ascii="Times New Roman" w:hAnsi="Times New Roman" w:eastAsia="黑体" w:cs="Times New Roman"/>
          <w:sz w:val="30"/>
          <w:szCs w:val="30"/>
        </w:rPr>
        <w:t>万元</w:t>
      </w:r>
    </w:p>
    <w:p w14:paraId="45D1273F">
      <w:pPr>
        <w:ind w:firstLine="600" w:firstLineChars="200"/>
        <w:rPr>
          <w:rFonts w:ascii="Times New Roman" w:hAnsi="Times New Roman" w:eastAsia="黑体" w:cs="Times New Roman"/>
          <w:sz w:val="30"/>
          <w:szCs w:val="30"/>
        </w:rPr>
      </w:pPr>
    </w:p>
    <w:p w14:paraId="7AB1BE93">
      <w:pPr>
        <w:widowControl/>
        <w:jc w:val="left"/>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6AA2CAB5">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6</w:t>
      </w:r>
      <w:r>
        <w:rPr>
          <w:rFonts w:ascii="Times New Roman" w:hAnsi="Times New Roman" w:eastAsia="黑体" w:cs="Times New Roman"/>
          <w:sz w:val="30"/>
          <w:szCs w:val="30"/>
        </w:rPr>
        <w:t>.超临界二氧化碳环境下氢气燃烧化学反应机理研究</w:t>
      </w:r>
    </w:p>
    <w:p w14:paraId="06A05FE7">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KF01-00</w:t>
      </w:r>
      <w:r>
        <w:rPr>
          <w:rFonts w:ascii="Times New Roman" w:hAnsi="Times New Roman" w:eastAsia="黑体" w:cs="Times New Roman"/>
          <w:sz w:val="30"/>
          <w:szCs w:val="30"/>
        </w:rPr>
        <w:t>6</w:t>
      </w:r>
    </w:p>
    <w:p w14:paraId="10C4132B">
      <w:pPr>
        <w:ind w:firstLine="600" w:firstLineChars="200"/>
        <w:rPr>
          <w:rFonts w:ascii="仿宋_GB2312" w:hAnsi="Times New Roman" w:eastAsia="仿宋_GB2312"/>
          <w:sz w:val="30"/>
          <w:szCs w:val="30"/>
        </w:rPr>
      </w:pPr>
      <w:r>
        <w:rPr>
          <w:rFonts w:hint="eastAsia" w:ascii="Times New Roman" w:hAnsi="Times New Roman" w:eastAsia="黑体" w:cs="Times New Roman"/>
          <w:sz w:val="30"/>
          <w:szCs w:val="30"/>
        </w:rPr>
        <w:t>研究目标：</w:t>
      </w:r>
      <w:r>
        <w:rPr>
          <w:rFonts w:hint="eastAsia" w:ascii="仿宋_GB2312" w:hAnsi="Times New Roman" w:eastAsia="仿宋_GB2312"/>
          <w:sz w:val="30"/>
          <w:szCs w:val="30"/>
        </w:rPr>
        <w:t>本项目面向直燃型超临界</w:t>
      </w:r>
      <w:r>
        <w:rPr>
          <w:rFonts w:ascii="仿宋_GB2312" w:hAnsi="Times New Roman" w:eastAsia="仿宋_GB2312"/>
          <w:sz w:val="30"/>
          <w:szCs w:val="30"/>
        </w:rPr>
        <w:t>CO</w:t>
      </w:r>
      <w:r>
        <w:rPr>
          <w:rFonts w:ascii="仿宋_GB2312" w:hAnsi="Times New Roman" w:eastAsia="仿宋_GB2312"/>
          <w:sz w:val="30"/>
          <w:szCs w:val="30"/>
          <w:vertAlign w:val="subscript"/>
        </w:rPr>
        <w:t>2</w:t>
      </w:r>
      <w:r>
        <w:rPr>
          <w:rFonts w:ascii="仿宋_GB2312" w:hAnsi="Times New Roman" w:eastAsia="仿宋_GB2312"/>
          <w:sz w:val="30"/>
          <w:szCs w:val="30"/>
        </w:rPr>
        <w:t>发电循环的研发需求，针对超临界环境下</w:t>
      </w:r>
      <w:r>
        <w:rPr>
          <w:rFonts w:hint="eastAsia" w:ascii="仿宋_GB2312" w:hAnsi="Times New Roman" w:eastAsia="仿宋_GB2312"/>
          <w:sz w:val="30"/>
          <w:szCs w:val="30"/>
        </w:rPr>
        <w:t>H</w:t>
      </w:r>
      <w:r>
        <w:rPr>
          <w:rFonts w:hint="eastAsia" w:ascii="仿宋_GB2312" w:hAnsi="Times New Roman" w:eastAsia="仿宋_GB2312"/>
          <w:sz w:val="30"/>
          <w:szCs w:val="30"/>
          <w:vertAlign w:val="subscript"/>
        </w:rPr>
        <w:t>2</w:t>
      </w:r>
      <w:r>
        <w:rPr>
          <w:rFonts w:ascii="仿宋_GB2312" w:hAnsi="Times New Roman" w:eastAsia="仿宋_GB2312"/>
          <w:sz w:val="30"/>
          <w:szCs w:val="30"/>
        </w:rPr>
        <w:t>/O</w:t>
      </w:r>
      <w:r>
        <w:rPr>
          <w:rFonts w:ascii="仿宋_GB2312" w:hAnsi="Times New Roman" w:eastAsia="仿宋_GB2312"/>
          <w:sz w:val="30"/>
          <w:szCs w:val="30"/>
          <w:vertAlign w:val="subscript"/>
        </w:rPr>
        <w:t>2</w:t>
      </w:r>
      <w:r>
        <w:rPr>
          <w:rFonts w:ascii="仿宋_GB2312" w:hAnsi="Times New Roman" w:eastAsia="仿宋_GB2312"/>
          <w:sz w:val="30"/>
          <w:szCs w:val="30"/>
        </w:rPr>
        <w:t>/CO</w:t>
      </w:r>
      <w:r>
        <w:rPr>
          <w:rFonts w:ascii="仿宋_GB2312" w:hAnsi="Times New Roman" w:eastAsia="仿宋_GB2312"/>
          <w:sz w:val="30"/>
          <w:szCs w:val="30"/>
          <w:vertAlign w:val="subscript"/>
        </w:rPr>
        <w:t>2</w:t>
      </w:r>
      <w:r>
        <w:rPr>
          <w:rFonts w:ascii="仿宋_GB2312" w:hAnsi="Times New Roman" w:eastAsia="仿宋_GB2312"/>
          <w:sz w:val="30"/>
          <w:szCs w:val="30"/>
        </w:rPr>
        <w:t>燃烧基础数据匮乏、真实流体效应作用机制不清等科学问题，开展极端高压下的反应机理研究。获取高压区跨临界/超临界点火延迟时间高保真实验数据，构建高精度</w:t>
      </w:r>
      <w:r>
        <w:rPr>
          <w:rFonts w:hint="eastAsia" w:ascii="仿宋_GB2312" w:hAnsi="Times New Roman" w:eastAsia="仿宋_GB2312"/>
          <w:sz w:val="30"/>
          <w:szCs w:val="30"/>
        </w:rPr>
        <w:t>H</w:t>
      </w:r>
      <w:r>
        <w:rPr>
          <w:rFonts w:hint="eastAsia" w:ascii="仿宋_GB2312" w:hAnsi="Times New Roman" w:eastAsia="仿宋_GB2312"/>
          <w:sz w:val="30"/>
          <w:szCs w:val="30"/>
          <w:vertAlign w:val="subscript"/>
        </w:rPr>
        <w:t>2</w:t>
      </w:r>
      <w:r>
        <w:rPr>
          <w:rFonts w:ascii="仿宋_GB2312" w:hAnsi="Times New Roman" w:eastAsia="仿宋_GB2312"/>
          <w:sz w:val="30"/>
          <w:szCs w:val="30"/>
        </w:rPr>
        <w:t>/O</w:t>
      </w:r>
      <w:r>
        <w:rPr>
          <w:rFonts w:ascii="仿宋_GB2312" w:hAnsi="Times New Roman" w:eastAsia="仿宋_GB2312"/>
          <w:sz w:val="30"/>
          <w:szCs w:val="30"/>
          <w:vertAlign w:val="subscript"/>
        </w:rPr>
        <w:t>2</w:t>
      </w:r>
      <w:r>
        <w:rPr>
          <w:rFonts w:ascii="仿宋_GB2312" w:hAnsi="Times New Roman" w:eastAsia="仿宋_GB2312"/>
          <w:sz w:val="30"/>
          <w:szCs w:val="30"/>
        </w:rPr>
        <w:t>/CO</w:t>
      </w:r>
      <w:r>
        <w:rPr>
          <w:rFonts w:ascii="仿宋_GB2312" w:hAnsi="Times New Roman" w:eastAsia="仿宋_GB2312"/>
          <w:sz w:val="30"/>
          <w:szCs w:val="30"/>
          <w:vertAlign w:val="subscript"/>
        </w:rPr>
        <w:t>2</w:t>
      </w:r>
      <w:r>
        <w:rPr>
          <w:rFonts w:ascii="仿宋_GB2312" w:hAnsi="Times New Roman" w:eastAsia="仿宋_GB2312"/>
          <w:sz w:val="30"/>
          <w:szCs w:val="30"/>
        </w:rPr>
        <w:t>反应动力学机理</w:t>
      </w:r>
      <w:r>
        <w:rPr>
          <w:rFonts w:hint="eastAsia" w:ascii="仿宋_GB2312" w:hAnsi="Times New Roman" w:eastAsia="仿宋_GB2312"/>
          <w:sz w:val="30"/>
          <w:szCs w:val="30"/>
        </w:rPr>
        <w:t>，</w:t>
      </w:r>
      <w:r>
        <w:rPr>
          <w:rFonts w:ascii="仿宋_GB2312" w:hAnsi="Times New Roman" w:eastAsia="仿宋_GB2312"/>
          <w:sz w:val="30"/>
          <w:szCs w:val="30"/>
        </w:rPr>
        <w:t>为新一代超临界CO</w:t>
      </w:r>
      <w:r>
        <w:rPr>
          <w:rFonts w:ascii="仿宋_GB2312" w:hAnsi="Times New Roman" w:eastAsia="仿宋_GB2312"/>
          <w:sz w:val="30"/>
          <w:szCs w:val="30"/>
          <w:vertAlign w:val="subscript"/>
        </w:rPr>
        <w:t>2</w:t>
      </w:r>
      <w:r>
        <w:rPr>
          <w:rFonts w:ascii="仿宋_GB2312" w:hAnsi="Times New Roman" w:eastAsia="仿宋_GB2312"/>
          <w:sz w:val="30"/>
          <w:szCs w:val="30"/>
        </w:rPr>
        <w:t>燃烧室的设计与优化提供坚实的理论模型与数据支撑。</w:t>
      </w:r>
    </w:p>
    <w:p w14:paraId="1E4A4217">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7855D3F1">
      <w:pPr>
        <w:spacing w:line="560" w:lineRule="exact"/>
        <w:ind w:firstLine="600" w:firstLineChars="200"/>
        <w:rPr>
          <w:rFonts w:ascii="仿宋_GB2312" w:hAnsi="Times New Roman" w:eastAsia="仿宋_GB2312"/>
          <w:sz w:val="30"/>
          <w:szCs w:val="30"/>
          <w:highlight w:val="none"/>
        </w:rPr>
      </w:pPr>
      <w:r>
        <w:rPr>
          <w:rFonts w:hint="eastAsia" w:ascii="仿宋_GB2312" w:hAnsi="Times New Roman" w:eastAsia="仿宋_GB2312"/>
          <w:sz w:val="30"/>
          <w:szCs w:val="30"/>
        </w:rPr>
        <w:t>在超临界</w:t>
      </w:r>
      <w:r>
        <w:rPr>
          <w:rFonts w:ascii="仿宋_GB2312" w:hAnsi="Times New Roman" w:eastAsia="仿宋_GB2312"/>
          <w:sz w:val="30"/>
          <w:szCs w:val="30"/>
        </w:rPr>
        <w:t>CO</w:t>
      </w:r>
      <w:r>
        <w:rPr>
          <w:rFonts w:ascii="仿宋_GB2312" w:hAnsi="Times New Roman" w:eastAsia="仿宋_GB2312"/>
          <w:sz w:val="30"/>
          <w:szCs w:val="30"/>
          <w:vertAlign w:val="subscript"/>
        </w:rPr>
        <w:t>2</w:t>
      </w:r>
      <w:r>
        <w:rPr>
          <w:rFonts w:ascii="仿宋_GB2312" w:hAnsi="Times New Roman" w:eastAsia="仿宋_GB2312"/>
          <w:sz w:val="30"/>
          <w:szCs w:val="30"/>
        </w:rPr>
        <w:t>环境中，开展超临界</w:t>
      </w:r>
      <w:r>
        <w:rPr>
          <w:rFonts w:hint="eastAsia" w:ascii="仿宋_GB2312" w:hAnsi="Times New Roman" w:eastAsia="仿宋_GB2312"/>
          <w:sz w:val="30"/>
          <w:szCs w:val="30"/>
        </w:rPr>
        <w:t>H</w:t>
      </w:r>
      <w:r>
        <w:rPr>
          <w:rFonts w:hint="eastAsia" w:ascii="仿宋_GB2312" w:hAnsi="Times New Roman" w:eastAsia="仿宋_GB2312"/>
          <w:sz w:val="30"/>
          <w:szCs w:val="30"/>
          <w:vertAlign w:val="subscript"/>
        </w:rPr>
        <w:t>2</w:t>
      </w:r>
      <w:r>
        <w:rPr>
          <w:rFonts w:ascii="仿宋_GB2312" w:hAnsi="Times New Roman" w:eastAsia="仿宋_GB2312"/>
          <w:sz w:val="30"/>
          <w:szCs w:val="30"/>
        </w:rPr>
        <w:t>/O</w:t>
      </w:r>
      <w:r>
        <w:rPr>
          <w:rFonts w:ascii="仿宋_GB2312" w:hAnsi="Times New Roman" w:eastAsia="仿宋_GB2312"/>
          <w:sz w:val="30"/>
          <w:szCs w:val="30"/>
          <w:vertAlign w:val="subscript"/>
        </w:rPr>
        <w:t>2</w:t>
      </w:r>
      <w:r>
        <w:rPr>
          <w:rFonts w:ascii="仿宋_GB2312" w:hAnsi="Times New Roman" w:eastAsia="仿宋_GB2312"/>
          <w:sz w:val="30"/>
          <w:szCs w:val="30"/>
        </w:rPr>
        <w:t>/CO</w:t>
      </w:r>
      <w:r>
        <w:rPr>
          <w:rFonts w:ascii="仿宋_GB2312" w:hAnsi="Times New Roman" w:eastAsia="仿宋_GB2312"/>
          <w:sz w:val="30"/>
          <w:szCs w:val="30"/>
          <w:vertAlign w:val="subscript"/>
        </w:rPr>
        <w:t>2</w:t>
      </w:r>
      <w:r>
        <w:rPr>
          <w:rFonts w:ascii="仿宋_GB2312" w:hAnsi="Times New Roman" w:eastAsia="仿宋_GB2312"/>
          <w:sz w:val="30"/>
          <w:szCs w:val="30"/>
        </w:rPr>
        <w:t>混合物点火延迟时间的高压实验研究，系统获取不同温度下的关键实验数据。在此基础上，结合基于分子力场的真实流体热物性理论体系，构建适用于跨临界和超临界条件的燃烧数值模拟方法，对燃料超临界点火过程进行模拟分析。进一步基于实验数据对主流</w:t>
      </w:r>
      <w:r>
        <w:rPr>
          <w:rFonts w:hint="eastAsia" w:ascii="仿宋_GB2312" w:hAnsi="Times New Roman" w:eastAsia="仿宋_GB2312"/>
          <w:sz w:val="30"/>
          <w:szCs w:val="30"/>
        </w:rPr>
        <w:t>氢燃烧</w:t>
      </w:r>
      <w:r>
        <w:rPr>
          <w:rFonts w:ascii="仿宋_GB2312" w:hAnsi="Times New Roman" w:eastAsia="仿宋_GB2312"/>
          <w:sz w:val="30"/>
          <w:szCs w:val="30"/>
        </w:rPr>
        <w:t>化学反应动力学机理进行</w:t>
      </w:r>
      <w:r>
        <w:rPr>
          <w:rFonts w:hint="eastAsia" w:ascii="仿宋_GB2312" w:hAnsi="Times New Roman" w:eastAsia="仿宋_GB2312"/>
          <w:sz w:val="30"/>
          <w:szCs w:val="30"/>
        </w:rPr>
        <w:t>修正</w:t>
      </w:r>
      <w:r>
        <w:rPr>
          <w:rFonts w:ascii="仿宋_GB2312" w:hAnsi="Times New Roman" w:eastAsia="仿宋_GB2312"/>
          <w:sz w:val="30"/>
          <w:szCs w:val="30"/>
        </w:rPr>
        <w:t>，从而为超临界</w:t>
      </w:r>
      <w:r>
        <w:rPr>
          <w:rFonts w:hint="eastAsia" w:ascii="仿宋_GB2312" w:hAnsi="Times New Roman" w:eastAsia="仿宋_GB2312"/>
          <w:sz w:val="30"/>
          <w:szCs w:val="30"/>
        </w:rPr>
        <w:t>二氧化碳环境氢燃烧</w:t>
      </w:r>
      <w:r>
        <w:rPr>
          <w:rFonts w:ascii="仿宋_GB2312" w:hAnsi="Times New Roman" w:eastAsia="仿宋_GB2312"/>
          <w:sz w:val="30"/>
          <w:szCs w:val="30"/>
        </w:rPr>
        <w:t>反应动力学机理的完善与优化提供实验和理论依据。</w:t>
      </w:r>
      <w:r>
        <w:rPr>
          <w:rFonts w:hint="eastAsia" w:ascii="仿宋_GB2312" w:hAnsi="Times New Roman" w:eastAsia="仿宋_GB2312"/>
          <w:sz w:val="30"/>
          <w:szCs w:val="30"/>
          <w:highlight w:val="none"/>
        </w:rPr>
        <w:t>实验数据和反应机理的知识产权归中国重燃所有</w:t>
      </w:r>
      <w:r>
        <w:rPr>
          <w:rFonts w:hint="eastAsia" w:ascii="仿宋_GB2312" w:hAnsi="Times New Roman" w:eastAsia="仿宋_GB2312"/>
          <w:sz w:val="30"/>
          <w:szCs w:val="30"/>
          <w:highlight w:val="none"/>
          <w:rPrChange w:id="0" w:author="xinfang" w:date="2026-08-12T19:38:30Z">
            <w:rPr>
              <w:rFonts w:hint="eastAsia" w:ascii="仿宋_GB2312" w:hAnsi="Times New Roman" w:eastAsia="仿宋_GB2312"/>
              <w:sz w:val="30"/>
              <w:szCs w:val="30"/>
              <w:highlight w:val="none"/>
            </w:rPr>
          </w:rPrChange>
        </w:rPr>
        <w:t>，</w:t>
      </w:r>
      <w:r>
        <w:rPr>
          <w:rFonts w:hint="eastAsia" w:ascii="仿宋_GB2312" w:hAnsi="Times New Roman" w:eastAsia="仿宋_GB2312"/>
          <w:sz w:val="30"/>
          <w:szCs w:val="30"/>
          <w:highlight w:val="none"/>
        </w:rPr>
        <w:t>作为商业秘密进行知识产权保护，未经中国重燃同意不得公开。</w:t>
      </w:r>
    </w:p>
    <w:p w14:paraId="3AD5A0F4">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6861FED0">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1.超临界二氧化碳环境下氢气燃烧点火延迟时间实验数据库；</w:t>
      </w:r>
    </w:p>
    <w:p w14:paraId="4725D6D2">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2</w:t>
      </w:r>
      <w:r>
        <w:rPr>
          <w:rFonts w:ascii="仿宋_GB2312" w:hAnsi="Times New Roman" w:eastAsia="仿宋_GB2312"/>
          <w:sz w:val="30"/>
          <w:szCs w:val="30"/>
        </w:rPr>
        <w:t>.</w:t>
      </w:r>
      <w:r>
        <w:rPr>
          <w:rFonts w:hint="eastAsia" w:ascii="仿宋_GB2312" w:hAnsi="Times New Roman" w:eastAsia="仿宋_GB2312"/>
          <w:sz w:val="30"/>
          <w:szCs w:val="30"/>
        </w:rPr>
        <w:t>超临界二氧化碳环境下氢气燃烧化学反应机理实验报告；</w:t>
      </w:r>
    </w:p>
    <w:p w14:paraId="7F4F0846">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3.</w:t>
      </w:r>
      <w:r>
        <w:rPr>
          <w:rFonts w:hint="eastAsia" w:ascii="仿宋_GB2312" w:hAnsi="Times New Roman" w:eastAsia="仿宋_GB2312"/>
          <w:sz w:val="30"/>
          <w:szCs w:val="30"/>
        </w:rPr>
        <w:t>超临界二氧化碳环境下氢气燃烧点火延迟模拟数据库；</w:t>
      </w:r>
    </w:p>
    <w:p w14:paraId="1FAEBA52">
      <w:pPr>
        <w:ind w:firstLine="600" w:firstLineChars="200"/>
        <w:rPr>
          <w:rFonts w:ascii="仿宋_GB2312" w:hAnsi="Times New Roman" w:eastAsia="仿宋_GB2312"/>
          <w:sz w:val="30"/>
          <w:szCs w:val="30"/>
        </w:rPr>
      </w:pPr>
      <w:r>
        <w:rPr>
          <w:rFonts w:ascii="仿宋_GB2312" w:hAnsi="Times New Roman" w:eastAsia="仿宋_GB2312"/>
          <w:sz w:val="30"/>
          <w:szCs w:val="30"/>
        </w:rPr>
        <w:t>4.</w:t>
      </w:r>
      <w:r>
        <w:rPr>
          <w:rFonts w:hint="eastAsia" w:ascii="仿宋_GB2312" w:hAnsi="Times New Roman" w:eastAsia="仿宋_GB2312"/>
          <w:sz w:val="30"/>
          <w:szCs w:val="30"/>
        </w:rPr>
        <w:t>适用于超临界二氧化碳环境下氢气燃烧的化学反应机理文件。</w:t>
      </w:r>
    </w:p>
    <w:p w14:paraId="79A43857">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09B74297">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1.点火延迟时间实验数据应覆盖CO</w:t>
      </w:r>
      <w:r>
        <w:rPr>
          <w:rFonts w:ascii="仿宋_GB2312" w:hAnsi="Times New Roman" w:eastAsia="仿宋_GB2312"/>
          <w:sz w:val="30"/>
          <w:szCs w:val="30"/>
          <w:vertAlign w:val="subscript"/>
        </w:rPr>
        <w:t>2</w:t>
      </w:r>
      <w:r>
        <w:rPr>
          <w:rFonts w:ascii="仿宋_GB2312" w:hAnsi="Times New Roman" w:eastAsia="仿宋_GB2312"/>
          <w:sz w:val="30"/>
          <w:szCs w:val="30"/>
        </w:rPr>
        <w:t>临界压力至16MPa的压力范围；</w:t>
      </w:r>
    </w:p>
    <w:p w14:paraId="46B2FF4F">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2.</w:t>
      </w:r>
      <w:r>
        <w:rPr>
          <w:rFonts w:hint="eastAsia" w:ascii="仿宋_GB2312" w:hAnsi="Times New Roman" w:eastAsia="仿宋_GB2312"/>
          <w:sz w:val="30"/>
          <w:szCs w:val="30"/>
        </w:rPr>
        <w:t>重复实验标准偏差不超过平均值的</w:t>
      </w:r>
      <w:r>
        <w:rPr>
          <w:rFonts w:ascii="仿宋_GB2312" w:hAnsi="Times New Roman" w:eastAsia="仿宋_GB2312"/>
          <w:sz w:val="30"/>
          <w:szCs w:val="30"/>
        </w:rPr>
        <w:t>10%</w:t>
      </w:r>
      <w:r>
        <w:rPr>
          <w:rFonts w:hint="eastAsia" w:ascii="仿宋_GB2312" w:hAnsi="Times New Roman" w:eastAsia="仿宋_GB2312"/>
          <w:sz w:val="30"/>
          <w:szCs w:val="30"/>
        </w:rPr>
        <w:t>；</w:t>
      </w:r>
    </w:p>
    <w:p w14:paraId="53E7737B">
      <w:pPr>
        <w:ind w:firstLine="600" w:firstLineChars="200"/>
        <w:rPr>
          <w:rFonts w:ascii="Times New Roman" w:hAnsi="Times New Roman" w:eastAsia="黑体" w:cs="Times New Roman"/>
          <w:sz w:val="30"/>
          <w:szCs w:val="30"/>
        </w:rPr>
      </w:pPr>
      <w:r>
        <w:rPr>
          <w:rFonts w:ascii="仿宋_GB2312" w:hAnsi="Times New Roman" w:eastAsia="仿宋_GB2312"/>
          <w:sz w:val="30"/>
          <w:szCs w:val="30"/>
        </w:rPr>
        <w:t>3.点火模拟结果和</w:t>
      </w:r>
      <w:r>
        <w:rPr>
          <w:rFonts w:hint="eastAsia" w:ascii="仿宋_GB2312" w:hAnsi="Times New Roman" w:eastAsia="仿宋_GB2312"/>
          <w:sz w:val="30"/>
          <w:szCs w:val="30"/>
        </w:rPr>
        <w:t>实</w:t>
      </w:r>
      <w:r>
        <w:rPr>
          <w:rFonts w:ascii="仿宋_GB2312" w:hAnsi="Times New Roman" w:eastAsia="仿宋_GB2312"/>
          <w:sz w:val="30"/>
          <w:szCs w:val="30"/>
        </w:rPr>
        <w:t>验平均误差不超过25%</w:t>
      </w:r>
      <w:r>
        <w:rPr>
          <w:rFonts w:hint="eastAsia" w:ascii="仿宋_GB2312" w:hAnsi="Times New Roman" w:eastAsia="仿宋_GB2312"/>
          <w:sz w:val="30"/>
          <w:szCs w:val="30"/>
        </w:rPr>
        <w:t>。</w:t>
      </w:r>
    </w:p>
    <w:p w14:paraId="6BF20ED2">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w:t>
      </w:r>
      <w:r>
        <w:rPr>
          <w:rFonts w:ascii="Times New Roman" w:hAnsi="Times New Roman" w:eastAsia="黑体" w:cs="Times New Roman"/>
          <w:sz w:val="30"/>
          <w:szCs w:val="30"/>
        </w:rPr>
        <w:t>18</w:t>
      </w:r>
      <w:r>
        <w:rPr>
          <w:rFonts w:hint="eastAsia" w:ascii="Times New Roman" w:hAnsi="Times New Roman" w:eastAsia="黑体" w:cs="Times New Roman"/>
          <w:sz w:val="30"/>
          <w:szCs w:val="30"/>
        </w:rPr>
        <w:t>个月</w:t>
      </w:r>
    </w:p>
    <w:p w14:paraId="7AF0C673">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研究经费：1</w:t>
      </w:r>
      <w:r>
        <w:rPr>
          <w:rFonts w:ascii="Times New Roman" w:hAnsi="Times New Roman" w:eastAsia="黑体" w:cs="Times New Roman"/>
          <w:sz w:val="30"/>
          <w:szCs w:val="30"/>
        </w:rPr>
        <w:t>00</w:t>
      </w:r>
      <w:r>
        <w:rPr>
          <w:rFonts w:hint="eastAsia" w:ascii="Times New Roman" w:hAnsi="Times New Roman" w:eastAsia="黑体" w:cs="Times New Roman"/>
          <w:sz w:val="30"/>
          <w:szCs w:val="30"/>
        </w:rPr>
        <w:t>万元</w:t>
      </w:r>
    </w:p>
    <w:p w14:paraId="5DC1C243">
      <w:pPr>
        <w:ind w:firstLine="600" w:firstLineChars="200"/>
        <w:rPr>
          <w:rFonts w:ascii="Times New Roman" w:hAnsi="Times New Roman" w:eastAsia="黑体" w:cs="Times New Roman"/>
          <w:sz w:val="30"/>
          <w:szCs w:val="30"/>
        </w:rPr>
      </w:pPr>
    </w:p>
    <w:p w14:paraId="016647DD">
      <w:pPr>
        <w:ind w:firstLine="600" w:firstLineChars="200"/>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21A88B80">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7</w:t>
      </w:r>
      <w:r>
        <w:rPr>
          <w:rFonts w:ascii="Times New Roman" w:hAnsi="Times New Roman" w:eastAsia="黑体" w:cs="Times New Roman"/>
          <w:sz w:val="30"/>
          <w:szCs w:val="30"/>
        </w:rPr>
        <w:t>.</w:t>
      </w:r>
      <w:r>
        <w:rPr>
          <w:rFonts w:hint="eastAsia" w:ascii="Times New Roman" w:hAnsi="Times New Roman" w:eastAsia="黑体" w:cs="Times New Roman"/>
          <w:sz w:val="30"/>
          <w:szCs w:val="30"/>
        </w:rPr>
        <w:t>基于多光谱磷光与反演算法的热斑</w:t>
      </w:r>
      <w:r>
        <w:rPr>
          <w:rFonts w:ascii="Times New Roman" w:hAnsi="Times New Roman" w:eastAsia="黑体" w:cs="Times New Roman"/>
          <w:sz w:val="30"/>
          <w:szCs w:val="30"/>
        </w:rPr>
        <w:t>-旋流耦合场高精度动态测量关键技术研究</w:t>
      </w:r>
    </w:p>
    <w:p w14:paraId="7E00B17D">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KF01-007</w:t>
      </w:r>
    </w:p>
    <w:p w14:paraId="5A6D3F0F">
      <w:pPr>
        <w:ind w:firstLine="600" w:firstLineChars="200"/>
        <w:rPr>
          <w:rFonts w:ascii="Times New Roman" w:hAnsi="Times New Roman" w:eastAsia="仿宋_GB2312" w:cs="Times New Roman"/>
          <w:kern w:val="0"/>
          <w:sz w:val="30"/>
          <w:szCs w:val="30"/>
        </w:rPr>
      </w:pPr>
      <w:r>
        <w:rPr>
          <w:rFonts w:hint="eastAsia" w:ascii="Times New Roman" w:hAnsi="Times New Roman" w:eastAsia="黑体" w:cs="Times New Roman"/>
          <w:sz w:val="30"/>
          <w:szCs w:val="30"/>
        </w:rPr>
        <w:t>研究目标：</w:t>
      </w:r>
      <w:r>
        <w:rPr>
          <w:rFonts w:ascii="Times New Roman" w:hAnsi="Times New Roman" w:eastAsia="仿宋_GB2312" w:cs="Times New Roman"/>
          <w:kern w:val="0"/>
          <w:sz w:val="30"/>
          <w:szCs w:val="30"/>
        </w:rPr>
        <w:t>面向重型燃气轮机燃烧室出口热斑-旋流耦合场，建立动态测量、三维反演、多源不确定性表征与关键因素敏感性识别方法。</w:t>
      </w:r>
      <w:r>
        <w:rPr>
          <w:rFonts w:hint="eastAsia" w:ascii="Times New Roman" w:hAnsi="Times New Roman" w:eastAsia="仿宋_GB2312" w:cs="Times New Roman"/>
          <w:kern w:val="0"/>
          <w:sz w:val="30"/>
          <w:szCs w:val="30"/>
        </w:rPr>
        <w:t>第一年完成三维温度反演、速度-温度同步测量及多源参数表征；第二年完成代理模型、全局敏感性分析和稳健方案验证，形成空间分辨率≤1mm、时间响应≤1ms、测温误差≤2.5%的测量能力及适用于变负荷和服役退化条件的冷却评价方法。</w:t>
      </w:r>
    </w:p>
    <w:p w14:paraId="147989EF">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027E8DB6">
      <w:pPr>
        <w:pStyle w:val="15"/>
        <w:ind w:firstLine="600"/>
        <w:rPr>
          <w:sz w:val="30"/>
          <w:szCs w:val="30"/>
        </w:rPr>
      </w:pPr>
      <w:r>
        <w:rPr>
          <w:sz w:val="30"/>
          <w:szCs w:val="30"/>
        </w:rPr>
        <w:t>1）动态测量与校准。融合多光谱磷光、LIF/PIV等测量信息及URANS/LES物理先验，构建热斑-旋流耦合场三维反演算法，重构温度、速度与旋流的空间结构及瞬态演化过程，并评估反演误差与时空分辨能力。</w:t>
      </w:r>
    </w:p>
    <w:p w14:paraId="4C0A4C3B">
      <w:pPr>
        <w:pStyle w:val="15"/>
        <w:ind w:firstLine="600"/>
        <w:rPr>
          <w:sz w:val="30"/>
          <w:szCs w:val="30"/>
        </w:rPr>
      </w:pPr>
      <w:r>
        <w:rPr>
          <w:sz w:val="30"/>
          <w:szCs w:val="30"/>
        </w:rPr>
        <w:t>2）多源不确定性表征。统计热斑幅值与位置、旋流强度与相位、冷却气压力与流量、燃料组分及燃烧筒差异，并考虑气膜孔孔径、位置、角度、堵塞和表面退化，建立具有时空相关性的参数样本库。</w:t>
      </w:r>
    </w:p>
    <w:p w14:paraId="25619849">
      <w:pPr>
        <w:ind w:firstLine="600" w:firstLineChars="200"/>
        <w:rPr>
          <w:rFonts w:ascii="Times New Roman" w:hAnsi="Times New Roman" w:eastAsia="仿宋_GB2312" w:cs="Times New Roman"/>
          <w:kern w:val="0"/>
          <w:sz w:val="30"/>
          <w:szCs w:val="30"/>
        </w:rPr>
      </w:pPr>
      <w:r>
        <w:rPr>
          <w:rFonts w:ascii="Times New Roman" w:hAnsi="Times New Roman" w:eastAsia="仿宋_GB2312" w:cs="Times New Roman"/>
          <w:kern w:val="0"/>
          <w:sz w:val="30"/>
          <w:szCs w:val="30"/>
        </w:rPr>
        <w:t>3）关键因素敏感性识别。采用代理模型及全局敏感性分析，量化各不确定性源对热斑与旋流特征参数的影响贡献，识别主导因素、主要交互作用及其随工况变化的敏感性规律。</w:t>
      </w:r>
    </w:p>
    <w:p w14:paraId="6B4C28CF">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6A4EEC8C">
      <w:pPr>
        <w:pStyle w:val="15"/>
        <w:ind w:firstLine="600"/>
        <w:rPr>
          <w:sz w:val="30"/>
          <w:szCs w:val="30"/>
        </w:rPr>
      </w:pPr>
      <w:r>
        <w:rPr>
          <w:sz w:val="30"/>
          <w:szCs w:val="30"/>
        </w:rPr>
        <w:t>1）速度-温度联合反演与不确定性分析软件1套，配套热斑-旋流耦合及冷却性能不确定性研究报告1份。</w:t>
      </w:r>
    </w:p>
    <w:p w14:paraId="54983A4A">
      <w:pPr>
        <w:pStyle w:val="15"/>
        <w:ind w:firstLine="600"/>
        <w:rPr>
          <w:sz w:val="30"/>
          <w:szCs w:val="30"/>
        </w:rPr>
      </w:pPr>
      <w:r>
        <w:rPr>
          <w:sz w:val="30"/>
          <w:szCs w:val="30"/>
        </w:rPr>
        <w:t>2）多光谱磷光涂层喷涂工艺流程报告1套。</w:t>
      </w:r>
    </w:p>
    <w:p w14:paraId="1AE8176C">
      <w:pPr>
        <w:pStyle w:val="15"/>
        <w:ind w:firstLine="600"/>
        <w:rPr>
          <w:sz w:val="30"/>
          <w:szCs w:val="30"/>
        </w:rPr>
      </w:pPr>
      <w:r>
        <w:rPr>
          <w:sz w:val="30"/>
          <w:szCs w:val="30"/>
        </w:rPr>
        <w:t>3）重型燃机动态测量与不确定性数据库1套。</w:t>
      </w:r>
    </w:p>
    <w:p w14:paraId="47071487">
      <w:pPr>
        <w:pStyle w:val="15"/>
        <w:ind w:firstLine="600"/>
        <w:rPr>
          <w:sz w:val="30"/>
          <w:szCs w:val="30"/>
        </w:rPr>
      </w:pPr>
      <w:r>
        <w:rPr>
          <w:sz w:val="30"/>
          <w:szCs w:val="30"/>
        </w:rPr>
        <w:t>4）申请发明专利不少于2项。</w:t>
      </w:r>
    </w:p>
    <w:p w14:paraId="4EF018B4">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31ECB7D3">
      <w:pPr>
        <w:pStyle w:val="15"/>
        <w:ind w:firstLine="600"/>
        <w:rPr>
          <w:sz w:val="30"/>
          <w:szCs w:val="30"/>
        </w:rPr>
      </w:pPr>
      <w:r>
        <w:rPr>
          <w:sz w:val="30"/>
          <w:szCs w:val="30"/>
        </w:rPr>
        <w:t>1）在热斑温差ΔT≥200K工况下，校准后温度测量误差≤2.5%。</w:t>
      </w:r>
    </w:p>
    <w:p w14:paraId="3B1E8036">
      <w:pPr>
        <w:pStyle w:val="15"/>
        <w:ind w:firstLine="600"/>
        <w:rPr>
          <w:sz w:val="30"/>
          <w:szCs w:val="30"/>
        </w:rPr>
      </w:pPr>
      <w:r>
        <w:rPr>
          <w:sz w:val="30"/>
          <w:szCs w:val="30"/>
        </w:rPr>
        <w:t>2）形成多光谱磷光涂层喷涂工艺流程，厚度均匀性±5μm，在1100K、累计100h条件后无明显剥落、开裂或失效；</w:t>
      </w:r>
    </w:p>
    <w:p w14:paraId="343EA762">
      <w:pPr>
        <w:pStyle w:val="15"/>
        <w:ind w:firstLine="600"/>
        <w:rPr>
          <w:sz w:val="30"/>
          <w:szCs w:val="30"/>
        </w:rPr>
      </w:pPr>
      <w:r>
        <w:rPr>
          <w:sz w:val="30"/>
          <w:szCs w:val="30"/>
        </w:rPr>
        <w:t>3）建成不少于50组典型案例数据库，获得相位锁定数据不少于1000帧。</w:t>
      </w:r>
    </w:p>
    <w:p w14:paraId="6B0BAE4D">
      <w:pPr>
        <w:pStyle w:val="15"/>
        <w:ind w:firstLine="600"/>
        <w:rPr>
          <w:sz w:val="30"/>
          <w:szCs w:val="30"/>
        </w:rPr>
      </w:pPr>
      <w:r>
        <w:rPr>
          <w:sz w:val="30"/>
          <w:szCs w:val="30"/>
        </w:rPr>
        <w:t>4）代理模型交叉验证误差≤5%，识别不少于3项主导因素及主要作用，形成热斑-旋流关键影响因素敏感性排序与贡献评估结果。</w:t>
      </w:r>
    </w:p>
    <w:p w14:paraId="44E87A15">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研究周期：2</w:t>
      </w:r>
      <w:r>
        <w:rPr>
          <w:rFonts w:ascii="Times New Roman" w:hAnsi="Times New Roman" w:eastAsia="黑体" w:cs="Times New Roman"/>
          <w:sz w:val="30"/>
          <w:szCs w:val="30"/>
        </w:rPr>
        <w:t>4</w:t>
      </w:r>
      <w:r>
        <w:rPr>
          <w:rFonts w:hint="eastAsia" w:ascii="Times New Roman" w:hAnsi="Times New Roman" w:eastAsia="黑体" w:cs="Times New Roman"/>
          <w:sz w:val="30"/>
          <w:szCs w:val="30"/>
        </w:rPr>
        <w:t>个月</w:t>
      </w:r>
    </w:p>
    <w:p w14:paraId="2C4C1BFB">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研究经费：8</w:t>
      </w:r>
      <w:r>
        <w:rPr>
          <w:rFonts w:ascii="Times New Roman" w:hAnsi="Times New Roman" w:eastAsia="黑体" w:cs="Times New Roman"/>
          <w:sz w:val="30"/>
          <w:szCs w:val="30"/>
        </w:rPr>
        <w:t>0</w:t>
      </w:r>
      <w:r>
        <w:rPr>
          <w:rFonts w:hint="eastAsia" w:ascii="Times New Roman" w:hAnsi="Times New Roman" w:eastAsia="黑体" w:cs="Times New Roman"/>
          <w:sz w:val="30"/>
          <w:szCs w:val="30"/>
        </w:rPr>
        <w:t>万元</w:t>
      </w:r>
    </w:p>
    <w:p w14:paraId="793D9887">
      <w:pPr>
        <w:ind w:firstLine="600" w:firstLineChars="200"/>
        <w:rPr>
          <w:rFonts w:ascii="Times New Roman" w:hAnsi="Times New Roman" w:eastAsia="黑体" w:cs="Times New Roman"/>
          <w:sz w:val="30"/>
          <w:szCs w:val="30"/>
        </w:rPr>
      </w:pPr>
    </w:p>
    <w:p w14:paraId="6815235E">
      <w:pPr>
        <w:widowControl/>
        <w:jc w:val="left"/>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4F07FF5F">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8</w:t>
      </w:r>
      <w:r>
        <w:rPr>
          <w:rFonts w:ascii="Times New Roman" w:hAnsi="Times New Roman" w:eastAsia="黑体" w:cs="Times New Roman"/>
          <w:sz w:val="30"/>
          <w:szCs w:val="30"/>
        </w:rPr>
        <w:t>.</w:t>
      </w:r>
      <w:r>
        <w:rPr>
          <w:rFonts w:hint="eastAsia" w:ascii="Times New Roman" w:hAnsi="Times New Roman" w:eastAsia="黑体" w:cs="Times New Roman"/>
          <w:sz w:val="30"/>
          <w:szCs w:val="30"/>
        </w:rPr>
        <w:t>多喷嘴燃烧室出口温度分布的激光测量技术研究</w:t>
      </w:r>
    </w:p>
    <w:p w14:paraId="0973215F">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KF01-008</w:t>
      </w:r>
    </w:p>
    <w:p w14:paraId="74817F94">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研究目标：</w:t>
      </w:r>
      <w:r>
        <w:rPr>
          <w:rFonts w:hint="eastAsia" w:ascii="仿宋_GB2312" w:hAnsi="Times New Roman" w:eastAsia="仿宋_GB2312"/>
          <w:sz w:val="30"/>
          <w:szCs w:val="30"/>
        </w:rPr>
        <w:t>发展基于RS/FRS的激光测温方法，形成一套可用于燃烧室出口温度场测量的试验装置，并对RS/FRS的测温精度、时空分辨率进行表征。设计搭建试验台架，模拟燃烧室出口条件，在常压条件下，对燃烧室的出口温度分布进行测量，为燃烧室喷嘴的优化设计提供数据支撑。</w:t>
      </w:r>
    </w:p>
    <w:p w14:paraId="3E123777">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35CDC14B">
      <w:pPr>
        <w:ind w:firstLine="600" w:firstLineChars="200"/>
        <w:rPr>
          <w:rFonts w:ascii="仿宋_GB2312" w:hAnsi="Times New Roman" w:eastAsia="仿宋_GB2312"/>
          <w:sz w:val="30"/>
          <w:szCs w:val="30"/>
        </w:rPr>
      </w:pPr>
      <w:r>
        <w:rPr>
          <w:rFonts w:hint="eastAsia" w:ascii="仿宋_GB2312" w:hAnsi="Times New Roman" w:eastAsia="仿宋_GB2312"/>
          <w:sz w:val="30"/>
          <w:szCs w:val="30"/>
        </w:rPr>
        <w:t>1</w:t>
      </w:r>
      <w:r>
        <w:rPr>
          <w:rFonts w:ascii="仿宋_GB2312" w:hAnsi="Times New Roman" w:eastAsia="仿宋_GB2312"/>
          <w:sz w:val="30"/>
          <w:szCs w:val="30"/>
        </w:rPr>
        <w:t>.</w:t>
      </w:r>
      <w:r>
        <w:rPr>
          <w:rFonts w:hint="eastAsia" w:ascii="仿宋_GB2312" w:hAnsi="Times New Roman" w:eastAsia="仿宋_GB2312"/>
          <w:sz w:val="30"/>
          <w:szCs w:val="30"/>
        </w:rPr>
        <w:t>发展基于R</w:t>
      </w:r>
      <w:r>
        <w:rPr>
          <w:rFonts w:ascii="仿宋_GB2312" w:hAnsi="Times New Roman" w:eastAsia="仿宋_GB2312"/>
          <w:sz w:val="30"/>
          <w:szCs w:val="30"/>
        </w:rPr>
        <w:t>S/FRS</w:t>
      </w:r>
      <w:r>
        <w:rPr>
          <w:rFonts w:hint="eastAsia" w:ascii="仿宋_GB2312" w:hAnsi="Times New Roman" w:eastAsia="仿宋_GB2312"/>
          <w:sz w:val="30"/>
          <w:szCs w:val="30"/>
        </w:rPr>
        <w:t>的燃烧室出口温度测量方法，基于标准层流火焰燃烧器，开展方法验证研究：评估测温方法基本性能，主要包括测量频率、空间分辨率、测温精度等，并开展测量不确定度分析；评估测温方法在不同燃料种类以及火焰形式条件下的适用性。</w:t>
      </w:r>
    </w:p>
    <w:p w14:paraId="5EF8F277">
      <w:pPr>
        <w:ind w:firstLine="600" w:firstLineChars="200"/>
        <w:rPr>
          <w:rFonts w:ascii="仿宋_GB2312" w:hAnsi="Times New Roman" w:eastAsia="仿宋_GB2312"/>
          <w:sz w:val="30"/>
          <w:szCs w:val="30"/>
        </w:rPr>
      </w:pPr>
      <w:r>
        <w:rPr>
          <w:rFonts w:ascii="仿宋_GB2312" w:hAnsi="Times New Roman" w:eastAsia="仿宋_GB2312"/>
          <w:sz w:val="30"/>
          <w:szCs w:val="30"/>
        </w:rPr>
        <w:t>2.</w:t>
      </w:r>
      <w:r>
        <w:rPr>
          <w:rFonts w:hint="eastAsia" w:ascii="仿宋_GB2312" w:hAnsi="Times New Roman" w:eastAsia="仿宋_GB2312"/>
          <w:sz w:val="30"/>
          <w:szCs w:val="30"/>
        </w:rPr>
        <w:t>针对真实燃烧室出口不同截面的温度分布进行测量，评估在各类喷嘴组合的状态下，燃烧室出口温度分布的演变过程，为后续喷嘴的优化设计提供数据支撑；设计搭建光学燃烧室，适配不同燃烧器喷嘴构型，燃烧室出口可提供激光入射/出射窗口以及光学测量窗口；开展R</w:t>
      </w:r>
      <w:r>
        <w:rPr>
          <w:rFonts w:ascii="仿宋_GB2312" w:hAnsi="Times New Roman" w:eastAsia="仿宋_GB2312"/>
          <w:sz w:val="30"/>
          <w:szCs w:val="30"/>
        </w:rPr>
        <w:t>S/FRS</w:t>
      </w:r>
      <w:r>
        <w:rPr>
          <w:rFonts w:hint="eastAsia" w:ascii="仿宋_GB2312" w:hAnsi="Times New Roman" w:eastAsia="仿宋_GB2312"/>
          <w:sz w:val="30"/>
          <w:szCs w:val="30"/>
        </w:rPr>
        <w:t>光学测温研究，获得不同喷嘴构型以及燃烧组织方式条件下的时空分辨温度场分布，并结合其他测量方法开展试验分析。</w:t>
      </w:r>
    </w:p>
    <w:p w14:paraId="54A864F9">
      <w:pPr>
        <w:ind w:left="630" w:leftChars="3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6FF787A8">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1</w:t>
      </w:r>
      <w:r>
        <w:rPr>
          <w:rFonts w:ascii="仿宋_GB2312" w:hAnsi="Times New Roman" w:eastAsia="仿宋_GB2312"/>
          <w:sz w:val="30"/>
          <w:szCs w:val="30"/>
        </w:rPr>
        <w:t>.</w:t>
      </w:r>
      <w:r>
        <w:rPr>
          <w:rFonts w:hint="eastAsia" w:ascii="仿宋_GB2312" w:hAnsi="Times New Roman" w:eastAsia="仿宋_GB2312"/>
          <w:sz w:val="30"/>
          <w:szCs w:val="30"/>
        </w:rPr>
        <w:t>标定试验数据：主要包括标准火焰炉等标定试验系统中在不同燃烧条件下的试验数据。</w:t>
      </w:r>
    </w:p>
    <w:p w14:paraId="33277FA6">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2.</w:t>
      </w:r>
      <w:r>
        <w:rPr>
          <w:rFonts w:hint="eastAsia" w:ascii="仿宋_GB2312" w:hAnsi="Times New Roman" w:eastAsia="仿宋_GB2312"/>
          <w:sz w:val="30"/>
          <w:szCs w:val="30"/>
        </w:rPr>
        <w:t>燃烧室出口测温试验数据：主要包括不同燃烧器喷嘴在不同燃烧条件下的试验数据。</w:t>
      </w:r>
    </w:p>
    <w:p w14:paraId="26B5E87E">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3.</w:t>
      </w:r>
      <w:r>
        <w:rPr>
          <w:rFonts w:hint="eastAsia" w:ascii="仿宋_GB2312" w:hAnsi="Times New Roman" w:eastAsia="仿宋_GB2312"/>
          <w:sz w:val="30"/>
          <w:szCs w:val="30"/>
        </w:rPr>
        <w:t>辅助试验数据：主要包括F</w:t>
      </w:r>
      <w:r>
        <w:rPr>
          <w:rFonts w:ascii="仿宋_GB2312" w:hAnsi="Times New Roman" w:eastAsia="仿宋_GB2312"/>
          <w:sz w:val="30"/>
          <w:szCs w:val="30"/>
        </w:rPr>
        <w:t>RS</w:t>
      </w:r>
      <w:r>
        <w:rPr>
          <w:rFonts w:hint="eastAsia" w:ascii="仿宋_GB2312" w:hAnsi="Times New Roman" w:eastAsia="仿宋_GB2312"/>
          <w:sz w:val="30"/>
          <w:szCs w:val="30"/>
        </w:rPr>
        <w:t>测量中的吸收峰数据，激光器功率/波长稳定性测量数据，热电偶/T</w:t>
      </w:r>
      <w:r>
        <w:rPr>
          <w:rFonts w:ascii="仿宋_GB2312" w:hAnsi="Times New Roman" w:eastAsia="仿宋_GB2312"/>
          <w:sz w:val="30"/>
          <w:szCs w:val="30"/>
        </w:rPr>
        <w:t>DLAS</w:t>
      </w:r>
      <w:r>
        <w:rPr>
          <w:rFonts w:hint="eastAsia" w:ascii="仿宋_GB2312" w:hAnsi="Times New Roman" w:eastAsia="仿宋_GB2312"/>
          <w:sz w:val="30"/>
          <w:szCs w:val="30"/>
        </w:rPr>
        <w:t>等其他辅助测量手段的试验数据等。</w:t>
      </w:r>
    </w:p>
    <w:p w14:paraId="7DAABE82">
      <w:pPr>
        <w:spacing w:line="560" w:lineRule="exact"/>
        <w:ind w:firstLine="420"/>
        <w:rPr>
          <w:rFonts w:ascii="仿宋_GB2312" w:hAnsi="Times New Roman" w:eastAsia="仿宋_GB2312"/>
          <w:sz w:val="30"/>
          <w:szCs w:val="30"/>
        </w:rPr>
      </w:pPr>
      <w:r>
        <w:rPr>
          <w:rFonts w:hint="eastAsia" w:ascii="仿宋_GB2312" w:hAnsi="Times New Roman" w:eastAsia="仿宋_GB2312"/>
          <w:sz w:val="30"/>
          <w:szCs w:val="30"/>
        </w:rPr>
        <w:t>4</w:t>
      </w:r>
      <w:r>
        <w:rPr>
          <w:rFonts w:ascii="仿宋_GB2312" w:hAnsi="Times New Roman" w:eastAsia="仿宋_GB2312"/>
          <w:sz w:val="30"/>
          <w:szCs w:val="30"/>
        </w:rPr>
        <w:t>.</w:t>
      </w:r>
      <w:r>
        <w:rPr>
          <w:rFonts w:hint="eastAsia" w:ascii="仿宋_GB2312" w:hAnsi="Times New Roman" w:eastAsia="仿宋_GB2312"/>
          <w:sz w:val="30"/>
          <w:szCs w:val="30"/>
        </w:rPr>
        <w:t>研究报告：主要包括试验设计报告，项目中期进展研究报告，项目结题报告。</w:t>
      </w:r>
    </w:p>
    <w:p w14:paraId="524626DC">
      <w:pPr>
        <w:ind w:firstLine="600" w:firstLineChars="200"/>
        <w:rPr>
          <w:rFonts w:ascii="仿宋_GB2312" w:hAnsi="Times New Roman" w:eastAsia="仿宋_GB2312"/>
          <w:sz w:val="30"/>
          <w:szCs w:val="30"/>
        </w:rPr>
      </w:pPr>
      <w:r>
        <w:rPr>
          <w:rFonts w:hint="eastAsia" w:ascii="仿宋_GB2312" w:hAnsi="Times New Roman" w:eastAsia="仿宋_GB2312"/>
          <w:sz w:val="30"/>
          <w:szCs w:val="30"/>
        </w:rPr>
        <w:t>5</w:t>
      </w:r>
      <w:r>
        <w:rPr>
          <w:rFonts w:ascii="仿宋_GB2312" w:hAnsi="Times New Roman" w:eastAsia="仿宋_GB2312"/>
          <w:sz w:val="30"/>
          <w:szCs w:val="30"/>
        </w:rPr>
        <w:t>.</w:t>
      </w:r>
      <w:r>
        <w:rPr>
          <w:rFonts w:hint="eastAsia" w:ascii="仿宋_GB2312" w:hAnsi="Times New Roman" w:eastAsia="仿宋_GB2312"/>
          <w:sz w:val="30"/>
          <w:szCs w:val="30"/>
        </w:rPr>
        <w:t>知识产权：发表发明专利1项，软件著作权1</w:t>
      </w:r>
      <w:r>
        <w:rPr>
          <w:rFonts w:ascii="仿宋_GB2312" w:hAnsi="Times New Roman" w:eastAsia="仿宋_GB2312"/>
          <w:sz w:val="30"/>
          <w:szCs w:val="30"/>
        </w:rPr>
        <w:t>-2</w:t>
      </w:r>
      <w:r>
        <w:rPr>
          <w:rFonts w:hint="eastAsia" w:ascii="仿宋_GB2312" w:hAnsi="Times New Roman" w:eastAsia="仿宋_GB2312"/>
          <w:sz w:val="30"/>
          <w:szCs w:val="30"/>
        </w:rPr>
        <w:t>项，学术论文</w:t>
      </w:r>
      <w:r>
        <w:rPr>
          <w:rFonts w:ascii="仿宋_GB2312" w:hAnsi="Times New Roman" w:eastAsia="仿宋_GB2312"/>
          <w:sz w:val="30"/>
          <w:szCs w:val="30"/>
        </w:rPr>
        <w:t>3-5</w:t>
      </w:r>
      <w:r>
        <w:rPr>
          <w:rFonts w:hint="eastAsia" w:ascii="仿宋_GB2312" w:hAnsi="Times New Roman" w:eastAsia="仿宋_GB2312"/>
          <w:sz w:val="30"/>
          <w:szCs w:val="30"/>
        </w:rPr>
        <w:t>篇。</w:t>
      </w:r>
    </w:p>
    <w:p w14:paraId="3516D0B6">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4B51687B">
      <w:pPr>
        <w:pStyle w:val="14"/>
        <w:numPr>
          <w:ilvl w:val="0"/>
          <w:numId w:val="2"/>
        </w:numPr>
        <w:spacing w:line="560" w:lineRule="exact"/>
        <w:ind w:firstLineChars="0"/>
        <w:rPr>
          <w:rFonts w:ascii="仿宋_GB2312" w:hAnsi="Times New Roman" w:eastAsia="仿宋_GB2312" w:cstheme="majorBidi"/>
          <w:sz w:val="30"/>
          <w:szCs w:val="30"/>
        </w:rPr>
      </w:pPr>
      <w:r>
        <w:rPr>
          <w:rFonts w:hint="eastAsia" w:ascii="仿宋_GB2312" w:hAnsi="Times New Roman" w:eastAsia="仿宋_GB2312" w:cstheme="majorBidi"/>
          <w:sz w:val="30"/>
          <w:szCs w:val="30"/>
        </w:rPr>
        <w:t>形成面向燃烧室出口温度测量的</w:t>
      </w:r>
      <w:r>
        <w:rPr>
          <w:rFonts w:ascii="仿宋_GB2312" w:hAnsi="Times New Roman" w:eastAsia="仿宋_GB2312" w:cstheme="majorBidi"/>
          <w:sz w:val="30"/>
          <w:szCs w:val="30"/>
        </w:rPr>
        <w:t>RS/FRS</w:t>
      </w:r>
      <w:r>
        <w:rPr>
          <w:rFonts w:hint="eastAsia" w:ascii="仿宋_GB2312" w:hAnsi="Times New Roman" w:eastAsia="仿宋_GB2312" w:cstheme="majorBidi"/>
          <w:sz w:val="30"/>
          <w:szCs w:val="30"/>
        </w:rPr>
        <w:t>测温装置一套；</w:t>
      </w:r>
    </w:p>
    <w:p w14:paraId="22F01AE7">
      <w:pPr>
        <w:pStyle w:val="14"/>
        <w:numPr>
          <w:ilvl w:val="0"/>
          <w:numId w:val="2"/>
        </w:numPr>
        <w:spacing w:line="560" w:lineRule="exact"/>
        <w:ind w:firstLineChars="0"/>
        <w:rPr>
          <w:rFonts w:ascii="仿宋_GB2312" w:hAnsi="Times New Roman" w:eastAsia="仿宋_GB2312" w:cstheme="majorBidi"/>
          <w:sz w:val="30"/>
          <w:szCs w:val="30"/>
        </w:rPr>
      </w:pPr>
      <w:r>
        <w:rPr>
          <w:rFonts w:hint="eastAsia" w:ascii="仿宋_GB2312" w:hAnsi="Times New Roman" w:eastAsia="仿宋_GB2312" w:cstheme="majorBidi"/>
          <w:sz w:val="30"/>
          <w:szCs w:val="30"/>
        </w:rPr>
        <w:t>温度测量范围覆盖</w:t>
      </w:r>
      <w:r>
        <w:rPr>
          <w:rFonts w:ascii="仿宋_GB2312" w:hAnsi="Times New Roman" w:eastAsia="仿宋_GB2312" w:cstheme="majorBidi"/>
          <w:sz w:val="30"/>
          <w:szCs w:val="30"/>
        </w:rPr>
        <w:t>900-1800K</w:t>
      </w:r>
      <w:r>
        <w:rPr>
          <w:rFonts w:hint="eastAsia" w:ascii="仿宋_GB2312" w:hAnsi="Times New Roman" w:eastAsia="仿宋_GB2312" w:cstheme="majorBidi"/>
          <w:sz w:val="30"/>
          <w:szCs w:val="30"/>
        </w:rPr>
        <w:t>，测量误差≤5</w:t>
      </w:r>
      <w:r>
        <w:rPr>
          <w:rFonts w:ascii="仿宋_GB2312" w:hAnsi="Times New Roman" w:eastAsia="仿宋_GB2312" w:cstheme="majorBidi"/>
          <w:sz w:val="30"/>
          <w:szCs w:val="30"/>
        </w:rPr>
        <w:t>%</w:t>
      </w:r>
      <w:r>
        <w:rPr>
          <w:rFonts w:hint="eastAsia" w:ascii="仿宋_GB2312" w:hAnsi="Times New Roman" w:eastAsia="仿宋_GB2312" w:cstheme="majorBidi"/>
          <w:sz w:val="30"/>
          <w:szCs w:val="30"/>
        </w:rPr>
        <w:t>；</w:t>
      </w:r>
    </w:p>
    <w:p w14:paraId="58080C4B">
      <w:pPr>
        <w:pStyle w:val="14"/>
        <w:numPr>
          <w:ilvl w:val="0"/>
          <w:numId w:val="2"/>
        </w:numPr>
        <w:ind w:firstLineChars="0"/>
        <w:rPr>
          <w:rFonts w:ascii="Times New Roman" w:hAnsi="Times New Roman" w:eastAsia="黑体" w:cs="Times New Roman"/>
          <w:sz w:val="30"/>
          <w:szCs w:val="30"/>
        </w:rPr>
      </w:pPr>
      <w:r>
        <w:rPr>
          <w:rFonts w:hint="eastAsia" w:ascii="仿宋_GB2312" w:hAnsi="Times New Roman" w:eastAsia="仿宋_GB2312" w:cstheme="majorBidi"/>
          <w:sz w:val="30"/>
          <w:szCs w:val="30"/>
        </w:rPr>
        <w:t>测温频率≥</w:t>
      </w:r>
      <w:r>
        <w:rPr>
          <w:rFonts w:ascii="仿宋_GB2312" w:hAnsi="Times New Roman" w:eastAsia="仿宋_GB2312" w:cstheme="majorBidi"/>
          <w:sz w:val="30"/>
          <w:szCs w:val="30"/>
        </w:rPr>
        <w:t>10</w:t>
      </w:r>
      <w:r>
        <w:rPr>
          <w:rFonts w:hint="eastAsia" w:ascii="仿宋_GB2312" w:hAnsi="Times New Roman" w:eastAsia="仿宋_GB2312" w:cstheme="majorBidi"/>
          <w:sz w:val="30"/>
          <w:szCs w:val="30"/>
        </w:rPr>
        <w:t>kHz。</w:t>
      </w:r>
    </w:p>
    <w:p w14:paraId="388C470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研究周期：2</w:t>
      </w:r>
      <w:r>
        <w:rPr>
          <w:rFonts w:ascii="Times New Roman" w:hAnsi="Times New Roman" w:eastAsia="黑体" w:cs="Times New Roman"/>
          <w:sz w:val="30"/>
          <w:szCs w:val="30"/>
        </w:rPr>
        <w:t>4</w:t>
      </w:r>
      <w:r>
        <w:rPr>
          <w:rFonts w:hint="eastAsia" w:ascii="Times New Roman" w:hAnsi="Times New Roman" w:eastAsia="黑体" w:cs="Times New Roman"/>
          <w:sz w:val="30"/>
          <w:szCs w:val="30"/>
        </w:rPr>
        <w:t>个月</w:t>
      </w:r>
    </w:p>
    <w:p w14:paraId="30431BBF">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研究经费：8</w:t>
      </w:r>
      <w:r>
        <w:rPr>
          <w:rFonts w:ascii="Times New Roman" w:hAnsi="Times New Roman" w:eastAsia="黑体" w:cs="Times New Roman"/>
          <w:sz w:val="30"/>
          <w:szCs w:val="30"/>
        </w:rPr>
        <w:t>0</w:t>
      </w:r>
      <w:r>
        <w:rPr>
          <w:rFonts w:hint="eastAsia" w:ascii="Times New Roman" w:hAnsi="Times New Roman" w:eastAsia="黑体" w:cs="Times New Roman"/>
          <w:sz w:val="30"/>
          <w:szCs w:val="30"/>
        </w:rPr>
        <w:t>万元</w:t>
      </w:r>
    </w:p>
    <w:p w14:paraId="7B458017">
      <w:pPr>
        <w:ind w:firstLine="610"/>
        <w:rPr>
          <w:rFonts w:ascii="Times New Roman" w:hAnsi="Times New Roman" w:eastAsia="黑体" w:cs="Times New Roman"/>
          <w:sz w:val="30"/>
          <w:szCs w:val="30"/>
        </w:rPr>
      </w:pPr>
    </w:p>
    <w:p w14:paraId="7B8B55D5">
      <w:pPr>
        <w:widowControl/>
        <w:jc w:val="left"/>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4120D259">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9</w:t>
      </w:r>
      <w:r>
        <w:rPr>
          <w:rFonts w:ascii="Times New Roman" w:hAnsi="Times New Roman" w:eastAsia="黑体" w:cs="Times New Roman"/>
          <w:sz w:val="30"/>
          <w:szCs w:val="30"/>
        </w:rPr>
        <w:t>.</w:t>
      </w:r>
      <w:r>
        <w:rPr>
          <w:rFonts w:hint="eastAsia" w:ascii="Times New Roman" w:hAnsi="Times New Roman" w:eastAsia="黑体" w:cs="Times New Roman"/>
          <w:sz w:val="30"/>
          <w:szCs w:val="30"/>
        </w:rPr>
        <w:t>基于声发射深度学习的转子碰磨智能感知、预警及结构反演优化</w:t>
      </w:r>
    </w:p>
    <w:p w14:paraId="11D88507">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KF01-00</w:t>
      </w:r>
      <w:r>
        <w:rPr>
          <w:rFonts w:ascii="Times New Roman" w:hAnsi="Times New Roman" w:eastAsia="黑体" w:cs="Times New Roman"/>
          <w:sz w:val="30"/>
          <w:szCs w:val="30"/>
        </w:rPr>
        <w:t>9</w:t>
      </w:r>
    </w:p>
    <w:p w14:paraId="5CD52040">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研究目标：</w:t>
      </w:r>
      <w:r>
        <w:rPr>
          <w:rFonts w:hint="eastAsia" w:ascii="仿宋_GB2312" w:hAnsi="Times New Roman" w:eastAsia="仿宋_GB2312"/>
          <w:sz w:val="30"/>
          <w:szCs w:val="30"/>
        </w:rPr>
        <w:t>本研究旨在利用声发射技术对转子碰磨产生的高频应力波敏感的优势，捕捉早期的碰磨信号；应用深度学习技术，融合多通道声发射信号中的时空特征，实现对转子碰磨故障的高灵敏度早期检测、精确类型识别、空间位置定位及严重程度实时评估，为燃气轮机的安全、高效、长周期运行提供先进的智能健康监测与诊断手段。</w:t>
      </w:r>
    </w:p>
    <w:p w14:paraId="55ABC886">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5F0E81E5">
      <w:pPr>
        <w:spacing w:line="560" w:lineRule="exact"/>
        <w:ind w:firstLine="600" w:firstLineChars="200"/>
        <w:rPr>
          <w:rFonts w:ascii="仿宋_GB2312" w:hAnsi="Times New Roman" w:eastAsia="仿宋_GB2312"/>
          <w:sz w:val="30"/>
          <w:szCs w:val="30"/>
        </w:rPr>
      </w:pPr>
      <w:bookmarkStart w:id="0" w:name="OLE_LINK7"/>
      <w:bookmarkStart w:id="1" w:name="OLE_LINK8"/>
      <w:r>
        <w:rPr>
          <w:rFonts w:hint="eastAsia" w:ascii="仿宋_GB2312" w:hAnsi="Times New Roman" w:eastAsia="仿宋_GB2312"/>
          <w:sz w:val="30"/>
          <w:szCs w:val="30"/>
        </w:rPr>
        <w:t>1</w:t>
      </w:r>
      <w:r>
        <w:rPr>
          <w:rFonts w:ascii="仿宋_GB2312" w:hAnsi="Times New Roman" w:eastAsia="仿宋_GB2312"/>
          <w:sz w:val="30"/>
          <w:szCs w:val="30"/>
        </w:rPr>
        <w:t>.</w:t>
      </w:r>
      <w:r>
        <w:rPr>
          <w:rFonts w:hint="eastAsia" w:ascii="仿宋_GB2312" w:hAnsi="Times New Roman" w:eastAsia="仿宋_GB2312"/>
          <w:sz w:val="30"/>
          <w:szCs w:val="30"/>
        </w:rPr>
        <w:t>转静子间隙及碰磨故障的声发射行为研究</w:t>
      </w:r>
    </w:p>
    <w:bookmarkEnd w:id="0"/>
    <w:bookmarkEnd w:id="1"/>
    <w:p w14:paraId="5B08C770">
      <w:pPr>
        <w:spacing w:line="560" w:lineRule="exact"/>
        <w:ind w:firstLine="600" w:firstLineChars="200"/>
        <w:rPr>
          <w:rFonts w:ascii="仿宋_GB2312" w:hAnsi="Times New Roman" w:eastAsia="仿宋_GB2312"/>
          <w:sz w:val="30"/>
          <w:szCs w:val="30"/>
        </w:rPr>
      </w:pPr>
      <w:bookmarkStart w:id="2" w:name="OLE_LINK10"/>
      <w:bookmarkStart w:id="3" w:name="OLE_LINK9"/>
      <w:r>
        <w:rPr>
          <w:rFonts w:hint="eastAsia" w:ascii="仿宋_GB2312" w:hAnsi="Times New Roman" w:eastAsia="仿宋_GB2312"/>
          <w:sz w:val="30"/>
          <w:szCs w:val="30"/>
        </w:rPr>
        <w:t>以燃气轮机为研究对象，基于声发射技术，获取转静子部件间隙变化、碰磨与动态声发射信号间的相应关系。针对碰磨多发</w:t>
      </w:r>
      <w:r>
        <w:rPr>
          <w:rFonts w:ascii="仿宋_GB2312" w:hAnsi="Times New Roman" w:eastAsia="仿宋_GB2312"/>
          <w:sz w:val="30"/>
          <w:szCs w:val="30"/>
        </w:rPr>
        <w:t>区域，观察</w:t>
      </w:r>
      <w:r>
        <w:rPr>
          <w:rFonts w:hint="eastAsia" w:ascii="仿宋_GB2312" w:hAnsi="Times New Roman" w:eastAsia="仿宋_GB2312"/>
          <w:sz w:val="30"/>
          <w:szCs w:val="30"/>
        </w:rPr>
        <w:t>转静子部件间隙变化</w:t>
      </w:r>
      <w:r>
        <w:rPr>
          <w:rFonts w:ascii="仿宋_GB2312" w:hAnsi="Times New Roman" w:eastAsia="仿宋_GB2312"/>
          <w:sz w:val="30"/>
          <w:szCs w:val="30"/>
        </w:rPr>
        <w:t>情况，研究转子早期、微弱碰磨激发的声发射信号时空特性</w:t>
      </w:r>
      <w:r>
        <w:rPr>
          <w:rFonts w:hint="eastAsia" w:ascii="仿宋_GB2312" w:hAnsi="Times New Roman" w:eastAsia="仿宋_GB2312"/>
          <w:sz w:val="30"/>
          <w:szCs w:val="30"/>
        </w:rPr>
        <w:t>。</w:t>
      </w:r>
    </w:p>
    <w:bookmarkEnd w:id="2"/>
    <w:bookmarkEnd w:id="3"/>
    <w:p w14:paraId="34820583">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2</w:t>
      </w:r>
      <w:r>
        <w:rPr>
          <w:rFonts w:ascii="仿宋_GB2312" w:hAnsi="Times New Roman" w:eastAsia="仿宋_GB2312"/>
          <w:sz w:val="30"/>
          <w:szCs w:val="30"/>
        </w:rPr>
        <w:t xml:space="preserve">.基于深度学习的转子机械微弱碰磨故障智能识别 </w:t>
      </w:r>
    </w:p>
    <w:p w14:paraId="13D44972">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建立转静子部件间隙变化、碰磨的声发射响应数据集，设计并实现深度学习时空网络架构。建立深度学习预测模型对转静子碰磨早期检测、类型识别，位置定位，严重性评估等多维度评估手段，形成基于声发射的故障智能识别技术。</w:t>
      </w:r>
    </w:p>
    <w:p w14:paraId="5B965826">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3</w:t>
      </w:r>
      <w:r>
        <w:rPr>
          <w:rFonts w:ascii="仿宋_GB2312" w:hAnsi="Times New Roman" w:eastAsia="仿宋_GB2312"/>
          <w:sz w:val="30"/>
          <w:szCs w:val="30"/>
        </w:rPr>
        <w:t>.</w:t>
      </w:r>
      <w:r>
        <w:rPr>
          <w:rFonts w:hint="eastAsia" w:ascii="仿宋_GB2312" w:hAnsi="Times New Roman" w:eastAsia="仿宋_GB2312"/>
          <w:sz w:val="30"/>
          <w:szCs w:val="30"/>
        </w:rPr>
        <w:t xml:space="preserve">转子不平衡发展规律与转静子部件间隙优化研究 </w:t>
      </w:r>
    </w:p>
    <w:p w14:paraId="78AA6522">
      <w:pPr>
        <w:spacing w:line="560" w:lineRule="exact"/>
        <w:ind w:firstLine="600" w:firstLineChars="200"/>
        <w:rPr>
          <w:rFonts w:ascii="Times New Roman" w:hAnsi="Times New Roman" w:eastAsia="黑体" w:cs="Times New Roman"/>
          <w:sz w:val="30"/>
          <w:szCs w:val="30"/>
        </w:rPr>
      </w:pPr>
      <w:r>
        <w:rPr>
          <w:rFonts w:hint="eastAsia" w:ascii="仿宋_GB2312" w:hAnsi="Times New Roman" w:eastAsia="仿宋_GB2312"/>
          <w:sz w:val="30"/>
          <w:szCs w:val="30"/>
        </w:rPr>
        <w:t>基于碰磨故障特征的识别，从响应信号特征关联的角度，研究转子不平衡等故障发生发展规律。研究振动响应特性，揭示转子失衡振动抑制规律，提出转子轴系不平衡振动抑制法和最优间隙，实现高效、快速动平衡消振。</w:t>
      </w:r>
    </w:p>
    <w:p w14:paraId="1A63AAFF">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398F187C">
      <w:pPr>
        <w:ind w:firstLine="600" w:firstLineChars="200"/>
        <w:rPr>
          <w:rFonts w:ascii="仿宋_GB2312" w:hAnsi="Times New Roman" w:eastAsia="仿宋_GB2312"/>
          <w:sz w:val="30"/>
          <w:szCs w:val="30"/>
        </w:rPr>
      </w:pPr>
      <w:r>
        <w:rPr>
          <w:rFonts w:hint="eastAsia" w:ascii="仿宋_GB2312" w:hAnsi="Times New Roman" w:eastAsia="仿宋_GB2312"/>
          <w:sz w:val="30"/>
          <w:szCs w:val="30"/>
        </w:rPr>
        <w:t>1</w:t>
      </w:r>
      <w:r>
        <w:rPr>
          <w:rFonts w:ascii="仿宋_GB2312" w:hAnsi="Times New Roman" w:eastAsia="仿宋_GB2312"/>
          <w:sz w:val="30"/>
          <w:szCs w:val="30"/>
        </w:rPr>
        <w:t>.</w:t>
      </w:r>
      <w:r>
        <w:rPr>
          <w:rFonts w:hint="eastAsia" w:ascii="仿宋_GB2312" w:hAnsi="Times New Roman" w:eastAsia="仿宋_GB2312"/>
          <w:sz w:val="30"/>
          <w:szCs w:val="30"/>
        </w:rPr>
        <w:t>建立具有高响应的转动部件碰磨故障损伤实时监测和预测防护方法；</w:t>
      </w:r>
    </w:p>
    <w:p w14:paraId="690D0F0D">
      <w:pPr>
        <w:ind w:firstLine="600" w:firstLineChars="200"/>
        <w:rPr>
          <w:rFonts w:ascii="仿宋_GB2312" w:hAnsi="Times New Roman" w:eastAsia="仿宋_GB2312"/>
          <w:sz w:val="30"/>
          <w:szCs w:val="30"/>
        </w:rPr>
      </w:pPr>
      <w:r>
        <w:rPr>
          <w:rFonts w:hint="eastAsia" w:ascii="仿宋_GB2312" w:hAnsi="Times New Roman" w:eastAsia="仿宋_GB2312"/>
          <w:sz w:val="30"/>
          <w:szCs w:val="30"/>
        </w:rPr>
        <w:t>2</w:t>
      </w:r>
      <w:r>
        <w:rPr>
          <w:rFonts w:ascii="仿宋_GB2312" w:hAnsi="Times New Roman" w:eastAsia="仿宋_GB2312"/>
          <w:sz w:val="30"/>
          <w:szCs w:val="30"/>
        </w:rPr>
        <w:t>.申请发明专利1项</w:t>
      </w:r>
      <w:r>
        <w:rPr>
          <w:rFonts w:hint="eastAsia" w:ascii="仿宋_GB2312" w:hAnsi="Times New Roman" w:eastAsia="仿宋_GB2312"/>
          <w:sz w:val="30"/>
          <w:szCs w:val="30"/>
        </w:rPr>
        <w:t>；</w:t>
      </w:r>
    </w:p>
    <w:p w14:paraId="2D5717F5">
      <w:pPr>
        <w:rPr>
          <w:rFonts w:ascii="Times New Roman" w:hAnsi="Times New Roman" w:eastAsia="黑体" w:cs="Times New Roman"/>
          <w:sz w:val="30"/>
          <w:szCs w:val="30"/>
        </w:rPr>
      </w:pPr>
      <w:r>
        <w:rPr>
          <w:rFonts w:hint="eastAsia" w:ascii="Times New Roman" w:hAnsi="Times New Roman" w:eastAsia="黑体" w:cs="Times New Roman"/>
          <w:sz w:val="30"/>
          <w:szCs w:val="30"/>
        </w:rPr>
        <w:t xml:space="preserve"> </w:t>
      </w:r>
      <w:r>
        <w:rPr>
          <w:rFonts w:ascii="Times New Roman" w:hAnsi="Times New Roman" w:eastAsia="黑体" w:cs="Times New Roman"/>
          <w:sz w:val="30"/>
          <w:szCs w:val="30"/>
        </w:rPr>
        <w:t xml:space="preserve">   </w:t>
      </w:r>
      <w:r>
        <w:rPr>
          <w:rFonts w:hint="eastAsia" w:ascii="仿宋_GB2312" w:hAnsi="Times New Roman" w:eastAsia="仿宋_GB2312"/>
          <w:sz w:val="30"/>
          <w:szCs w:val="30"/>
        </w:rPr>
        <w:t>3</w:t>
      </w:r>
      <w:r>
        <w:rPr>
          <w:rFonts w:ascii="仿宋_GB2312" w:hAnsi="Times New Roman" w:eastAsia="仿宋_GB2312"/>
          <w:sz w:val="30"/>
          <w:szCs w:val="30"/>
        </w:rPr>
        <w:t>.</w:t>
      </w:r>
      <w:r>
        <w:rPr>
          <w:rFonts w:hint="eastAsia" w:ascii="仿宋_GB2312" w:hAnsi="Times New Roman" w:eastAsia="仿宋_GB2312"/>
          <w:sz w:val="30"/>
          <w:szCs w:val="30"/>
        </w:rPr>
        <w:t>形成融合时频特征的转静子间隙变化规律和碰磨诊断方法的技术报告。</w:t>
      </w:r>
    </w:p>
    <w:p w14:paraId="60FD594E">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792A0BFE">
      <w:pPr>
        <w:ind w:firstLine="600" w:firstLineChars="200"/>
        <w:rPr>
          <w:rFonts w:ascii="Times New Roman" w:hAnsi="Times New Roman" w:eastAsia="黑体" w:cs="Times New Roman"/>
          <w:sz w:val="30"/>
          <w:szCs w:val="30"/>
        </w:rPr>
      </w:pPr>
      <w:r>
        <w:rPr>
          <w:rFonts w:hint="eastAsia" w:ascii="仿宋_GB2312" w:hAnsi="Times New Roman" w:eastAsia="仿宋_GB2312"/>
          <w:sz w:val="30"/>
          <w:szCs w:val="30"/>
        </w:rPr>
        <w:t>基于声发射技术和深度学习，形成具有高响应的转动部件碰磨故障损伤实时监测和预测防护方法。</w:t>
      </w:r>
    </w:p>
    <w:p w14:paraId="4BD87D19">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研究周期：2</w:t>
      </w:r>
      <w:r>
        <w:rPr>
          <w:rFonts w:ascii="Times New Roman" w:hAnsi="Times New Roman" w:eastAsia="黑体" w:cs="Times New Roman"/>
          <w:sz w:val="30"/>
          <w:szCs w:val="30"/>
        </w:rPr>
        <w:t>4</w:t>
      </w:r>
      <w:r>
        <w:rPr>
          <w:rFonts w:hint="eastAsia" w:ascii="Times New Roman" w:hAnsi="Times New Roman" w:eastAsia="黑体" w:cs="Times New Roman"/>
          <w:sz w:val="30"/>
          <w:szCs w:val="30"/>
        </w:rPr>
        <w:t>个月</w:t>
      </w:r>
    </w:p>
    <w:p w14:paraId="3ECAE26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w:t>
      </w:r>
      <w:r>
        <w:rPr>
          <w:rFonts w:ascii="Times New Roman" w:hAnsi="Times New Roman" w:eastAsia="黑体" w:cs="Times New Roman"/>
          <w:sz w:val="30"/>
          <w:szCs w:val="30"/>
        </w:rPr>
        <w:t>60</w:t>
      </w:r>
      <w:r>
        <w:rPr>
          <w:rFonts w:hint="eastAsia" w:ascii="Times New Roman" w:hAnsi="Times New Roman" w:eastAsia="黑体" w:cs="Times New Roman"/>
          <w:sz w:val="30"/>
          <w:szCs w:val="30"/>
        </w:rPr>
        <w:t>万元</w:t>
      </w:r>
    </w:p>
    <w:p w14:paraId="2C0ED7E6">
      <w:pPr>
        <w:ind w:firstLine="600" w:firstLineChars="200"/>
        <w:rPr>
          <w:rFonts w:ascii="Times New Roman" w:hAnsi="Times New Roman" w:eastAsia="黑体" w:cs="Times New Roman"/>
          <w:sz w:val="30"/>
          <w:szCs w:val="30"/>
        </w:rPr>
      </w:pPr>
    </w:p>
    <w:p w14:paraId="68837B3C">
      <w:pPr>
        <w:widowControl/>
        <w:jc w:val="left"/>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3F264CFB">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1</w:t>
      </w:r>
      <w:r>
        <w:rPr>
          <w:rFonts w:ascii="Times New Roman" w:hAnsi="Times New Roman" w:eastAsia="黑体" w:cs="Times New Roman"/>
          <w:sz w:val="30"/>
          <w:szCs w:val="30"/>
        </w:rPr>
        <w:t>0.</w:t>
      </w:r>
      <w:r>
        <w:rPr>
          <w:rFonts w:hint="eastAsia" w:ascii="Times New Roman" w:hAnsi="Times New Roman" w:eastAsia="黑体" w:cs="Times New Roman"/>
          <w:sz w:val="30"/>
          <w:szCs w:val="30"/>
        </w:rPr>
        <w:t>面向燃气轮机应用的氢氨燃料旋流火焰熄火预测模型研究</w:t>
      </w:r>
    </w:p>
    <w:p w14:paraId="264C538C">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KF01-010</w:t>
      </w:r>
    </w:p>
    <w:p w14:paraId="70102FA1">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研究目标：</w:t>
      </w:r>
    </w:p>
    <w:p w14:paraId="5605BDD3">
      <w:pPr>
        <w:ind w:firstLine="600" w:firstLineChars="200"/>
        <w:rPr>
          <w:rFonts w:ascii="Times New Roman" w:hAnsi="Times New Roman" w:eastAsia="黑体" w:cs="Times New Roman"/>
          <w:sz w:val="30"/>
          <w:szCs w:val="30"/>
        </w:rPr>
      </w:pPr>
      <w:r>
        <w:rPr>
          <w:rFonts w:hint="eastAsia" w:ascii="仿宋_GB2312" w:hAnsi="Times New Roman" w:eastAsia="仿宋_GB2312"/>
          <w:sz w:val="30"/>
          <w:szCs w:val="30"/>
        </w:rPr>
        <w:t>掌握多边界条件下单、双头部旋流燃烧室氢氨燃料熄火特性，获取临界熄火当量比与火焰动态演化规律，厘清工况参数、联焰干涉对熄火的影响机制；建立经实验校验的氢氨旋流火焰熄火数值模拟方法，开发工程实用熄火预测模型，形成熄火预测相关自主知识产权，为氢氨燃气轮机燃烧室设计提供熄火边界定量分析手段</w:t>
      </w:r>
      <w:r>
        <w:rPr>
          <w:rFonts w:ascii="仿宋_GB2312" w:hAnsi="Times New Roman" w:eastAsia="仿宋_GB2312"/>
          <w:sz w:val="30"/>
          <w:szCs w:val="30"/>
        </w:rPr>
        <w:t>。</w:t>
      </w:r>
    </w:p>
    <w:p w14:paraId="4F5C3127">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5F4744AB">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1.开展单头部氢氨旋流燃烧室熄火特性光学诊断实验研究。调整分级结构、旋流形式、燃料喷射与空气分配方案，在氨比例20%-70%、进气总温300-600 K、进气总压0.1-0.6 MPa多工况下开展贫燃熄火试验，剖析工况突变诱发局部熄火的内在机制。</w:t>
      </w:r>
    </w:p>
    <w:p w14:paraId="74F5025C">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2.开展双头部燃烧器联焰干涉熄火特性研究。</w:t>
      </w:r>
      <w:r>
        <w:rPr>
          <w:rFonts w:hint="eastAsia" w:ascii="仿宋_GB2312" w:hAnsi="Times New Roman" w:eastAsia="仿宋_GB2312"/>
          <w:sz w:val="30"/>
          <w:szCs w:val="30"/>
        </w:rPr>
        <w:t>构建考虑联焰干涉效应的氢氨熄火特性量化分析方法。</w:t>
      </w:r>
    </w:p>
    <w:p w14:paraId="3C98F544">
      <w:pPr>
        <w:ind w:firstLine="600" w:firstLineChars="200"/>
        <w:rPr>
          <w:rFonts w:ascii="Times New Roman" w:hAnsi="Times New Roman" w:eastAsia="黑体" w:cs="Times New Roman"/>
          <w:sz w:val="30"/>
          <w:szCs w:val="30"/>
        </w:rPr>
      </w:pPr>
      <w:r>
        <w:rPr>
          <w:rFonts w:ascii="仿宋_GB2312" w:hAnsi="Times New Roman" w:eastAsia="仿宋_GB2312"/>
          <w:sz w:val="30"/>
          <w:szCs w:val="30"/>
        </w:rPr>
        <w:t>3.开展氢氨熄火高精度数值模拟与工程预测模型构建。</w:t>
      </w:r>
      <w:r>
        <w:rPr>
          <w:rFonts w:hint="eastAsia" w:ascii="仿宋_GB2312" w:hAnsi="Times New Roman" w:eastAsia="仿宋_GB2312"/>
          <w:sz w:val="30"/>
          <w:szCs w:val="30"/>
        </w:rPr>
        <w:t>形成兼顾单</w:t>
      </w:r>
      <w:r>
        <w:rPr>
          <w:rFonts w:ascii="仿宋_GB2312" w:hAnsi="Times New Roman" w:eastAsia="仿宋_GB2312"/>
          <w:sz w:val="30"/>
          <w:szCs w:val="30"/>
        </w:rPr>
        <w:t>/双头部联焰效应的氢氨旋流火焰工程熄火预测模型。</w:t>
      </w:r>
    </w:p>
    <w:p w14:paraId="30B17BF8">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4327FDD5">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1.知识产权成果：发明专利</w:t>
      </w:r>
      <w:r>
        <w:rPr>
          <w:rFonts w:ascii="仿宋_GB2312" w:hAnsi="Times New Roman" w:eastAsia="仿宋_GB2312"/>
          <w:sz w:val="30"/>
          <w:szCs w:val="30"/>
        </w:rPr>
        <w:t>1项、学术论文1篇</w:t>
      </w:r>
      <w:r>
        <w:rPr>
          <w:rFonts w:hint="eastAsia" w:ascii="仿宋_GB2312" w:hAnsi="Times New Roman" w:eastAsia="仿宋_GB2312"/>
          <w:sz w:val="30"/>
          <w:szCs w:val="30"/>
        </w:rPr>
        <w:t>；</w:t>
      </w:r>
    </w:p>
    <w:p w14:paraId="243D6E2E">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2</w:t>
      </w:r>
      <w:r>
        <w:rPr>
          <w:rFonts w:hint="eastAsia" w:ascii="仿宋_GB2312" w:hAnsi="Times New Roman" w:eastAsia="仿宋_GB2312"/>
          <w:sz w:val="30"/>
          <w:szCs w:val="30"/>
        </w:rPr>
        <w:t>.文档成果（</w:t>
      </w:r>
      <w:r>
        <w:rPr>
          <w:rFonts w:ascii="仿宋_GB2312" w:hAnsi="Times New Roman" w:eastAsia="仿宋_GB2312"/>
          <w:sz w:val="30"/>
          <w:szCs w:val="30"/>
        </w:rPr>
        <w:t>4份专项研究报告）：</w:t>
      </w:r>
    </w:p>
    <w:p w14:paraId="79992CE3">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w:t>
      </w:r>
      <w:r>
        <w:rPr>
          <w:rFonts w:ascii="仿宋_GB2312" w:hAnsi="Times New Roman" w:eastAsia="仿宋_GB2312"/>
          <w:sz w:val="30"/>
          <w:szCs w:val="30"/>
        </w:rPr>
        <w:t>1）模型燃烧室氢氨燃料贫燃熄火研究报告</w:t>
      </w:r>
    </w:p>
    <w:p w14:paraId="5098DDF3">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w:t>
      </w:r>
      <w:r>
        <w:rPr>
          <w:rFonts w:ascii="仿宋_GB2312" w:hAnsi="Times New Roman" w:eastAsia="仿宋_GB2312"/>
          <w:sz w:val="30"/>
          <w:szCs w:val="30"/>
        </w:rPr>
        <w:t>2）模型燃烧室氢氨燃料工况变动熄火研究报告</w:t>
      </w:r>
    </w:p>
    <w:p w14:paraId="525C10D0">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w:t>
      </w:r>
      <w:r>
        <w:rPr>
          <w:rFonts w:ascii="仿宋_GB2312" w:hAnsi="Times New Roman" w:eastAsia="仿宋_GB2312"/>
          <w:sz w:val="30"/>
          <w:szCs w:val="30"/>
        </w:rPr>
        <w:t>3）氢氨燃料旋流燃烧熄火过程数值模拟研究报告</w:t>
      </w:r>
    </w:p>
    <w:p w14:paraId="29022310">
      <w:pPr>
        <w:ind w:firstLine="600" w:firstLineChars="200"/>
        <w:rPr>
          <w:rFonts w:hint="eastAsia" w:ascii="Times New Roman" w:hAnsi="Times New Roman" w:eastAsia="黑体" w:cs="Times New Roman"/>
          <w:sz w:val="30"/>
          <w:szCs w:val="30"/>
        </w:rPr>
      </w:pPr>
      <w:r>
        <w:rPr>
          <w:rFonts w:hint="eastAsia" w:ascii="仿宋_GB2312" w:hAnsi="Times New Roman" w:eastAsia="仿宋_GB2312"/>
          <w:sz w:val="30"/>
          <w:szCs w:val="30"/>
        </w:rPr>
        <w:t>（</w:t>
      </w:r>
      <w:r>
        <w:rPr>
          <w:rFonts w:ascii="仿宋_GB2312" w:hAnsi="Times New Roman" w:eastAsia="仿宋_GB2312"/>
          <w:sz w:val="30"/>
          <w:szCs w:val="30"/>
        </w:rPr>
        <w:t>4）氢氨燃料旋流燃烧熄火极限工程预测方法研究报告</w:t>
      </w:r>
      <w:r>
        <w:rPr>
          <w:rFonts w:hint="eastAsia" w:ascii="仿宋_GB2312" w:hAnsi="Times New Roman" w:eastAsia="仿宋_GB2312"/>
          <w:sz w:val="30"/>
          <w:szCs w:val="30"/>
        </w:rPr>
        <w:t>。</w:t>
      </w:r>
    </w:p>
    <w:p w14:paraId="6CC183CC">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0E988CDE">
      <w:pPr>
        <w:spacing w:line="560" w:lineRule="exact"/>
        <w:ind w:left="420" w:leftChars="200" w:firstLine="300" w:firstLineChars="100"/>
        <w:rPr>
          <w:rFonts w:ascii="仿宋_GB2312" w:hAnsi="Times New Roman" w:eastAsia="仿宋_GB2312"/>
          <w:sz w:val="30"/>
          <w:szCs w:val="30"/>
        </w:rPr>
      </w:pPr>
      <w:r>
        <w:rPr>
          <w:rFonts w:ascii="仿宋_GB2312" w:hAnsi="Times New Roman" w:eastAsia="仿宋_GB2312"/>
          <w:sz w:val="30"/>
          <w:szCs w:val="30"/>
        </w:rPr>
        <w:t>1.关键指标</w:t>
      </w:r>
    </w:p>
    <w:p w14:paraId="75FFF10A">
      <w:pPr>
        <w:spacing w:line="560" w:lineRule="exact"/>
        <w:ind w:left="420" w:leftChars="200" w:firstLine="300" w:firstLineChars="100"/>
        <w:rPr>
          <w:rFonts w:ascii="仿宋_GB2312" w:hAnsi="Times New Roman" w:eastAsia="仿宋_GB2312"/>
          <w:sz w:val="30"/>
          <w:szCs w:val="30"/>
        </w:rPr>
      </w:pPr>
      <w:r>
        <w:rPr>
          <w:rFonts w:hint="eastAsia" w:ascii="仿宋_GB2312" w:hAnsi="Times New Roman" w:eastAsia="仿宋_GB2312"/>
          <w:sz w:val="30"/>
          <w:szCs w:val="30"/>
        </w:rPr>
        <w:t>（</w:t>
      </w:r>
      <w:r>
        <w:rPr>
          <w:rFonts w:ascii="仿宋_GB2312" w:hAnsi="Times New Roman" w:eastAsia="仿宋_GB2312"/>
          <w:sz w:val="30"/>
          <w:szCs w:val="30"/>
        </w:rPr>
        <w:t>1）与实验数据相比，氢氨旋流火焰湍流燃烧模拟方法获得的熄火极限（当量比等）相对误差不超过10%。</w:t>
      </w:r>
    </w:p>
    <w:p w14:paraId="5272FFDF">
      <w:pPr>
        <w:spacing w:line="560" w:lineRule="exact"/>
        <w:ind w:left="420" w:leftChars="200" w:firstLine="300" w:firstLineChars="100"/>
        <w:rPr>
          <w:rFonts w:ascii="仿宋_GB2312" w:hAnsi="Times New Roman" w:eastAsia="仿宋_GB2312"/>
          <w:sz w:val="30"/>
          <w:szCs w:val="30"/>
        </w:rPr>
      </w:pPr>
      <w:r>
        <w:rPr>
          <w:rFonts w:hint="eastAsia" w:ascii="仿宋_GB2312" w:hAnsi="Times New Roman" w:eastAsia="仿宋_GB2312"/>
          <w:sz w:val="30"/>
          <w:szCs w:val="30"/>
        </w:rPr>
        <w:t>（</w:t>
      </w:r>
      <w:r>
        <w:rPr>
          <w:rFonts w:ascii="仿宋_GB2312" w:hAnsi="Times New Roman" w:eastAsia="仿宋_GB2312"/>
          <w:sz w:val="30"/>
          <w:szCs w:val="30"/>
        </w:rPr>
        <w:t>2）与实验数据相比，熄火工程预测模拟获得的熄火极限（当量比等）相对误差不超过15%。</w:t>
      </w:r>
    </w:p>
    <w:p w14:paraId="3022CFA5">
      <w:pPr>
        <w:spacing w:line="560" w:lineRule="exact"/>
        <w:ind w:left="420" w:leftChars="200" w:firstLine="300" w:firstLineChars="100"/>
        <w:rPr>
          <w:rFonts w:ascii="仿宋_GB2312" w:hAnsi="Times New Roman" w:eastAsia="仿宋_GB2312"/>
          <w:sz w:val="30"/>
          <w:szCs w:val="30"/>
        </w:rPr>
      </w:pPr>
      <w:r>
        <w:rPr>
          <w:rFonts w:ascii="仿宋_GB2312" w:hAnsi="Times New Roman" w:eastAsia="仿宋_GB2312"/>
          <w:sz w:val="30"/>
          <w:szCs w:val="30"/>
        </w:rPr>
        <w:t>2.硬件指标：氢氨燃料熄火特性试验件；</w:t>
      </w:r>
    </w:p>
    <w:p w14:paraId="0E92CE0B">
      <w:pPr>
        <w:spacing w:line="560" w:lineRule="exact"/>
        <w:ind w:left="420" w:leftChars="200" w:firstLine="300" w:firstLineChars="100"/>
        <w:rPr>
          <w:rFonts w:ascii="仿宋_GB2312" w:hAnsi="Times New Roman" w:eastAsia="仿宋_GB2312"/>
          <w:sz w:val="30"/>
          <w:szCs w:val="30"/>
        </w:rPr>
      </w:pPr>
      <w:r>
        <w:rPr>
          <w:rFonts w:ascii="仿宋_GB2312" w:hAnsi="Times New Roman" w:eastAsia="仿宋_GB2312"/>
          <w:sz w:val="30"/>
          <w:szCs w:val="30"/>
        </w:rPr>
        <w:t>3.软件指标：氢氨燃料旋流火焰熄火工程预测模型</w:t>
      </w:r>
      <w:r>
        <w:rPr>
          <w:rFonts w:hint="eastAsia" w:ascii="仿宋_GB2312" w:hAnsi="Times New Roman" w:eastAsia="仿宋_GB2312"/>
          <w:sz w:val="30"/>
          <w:szCs w:val="30"/>
        </w:rPr>
        <w:t>程序</w:t>
      </w:r>
      <w:r>
        <w:rPr>
          <w:rFonts w:ascii="仿宋_GB2312" w:hAnsi="Times New Roman" w:eastAsia="仿宋_GB2312"/>
          <w:sz w:val="30"/>
          <w:szCs w:val="30"/>
        </w:rPr>
        <w:t>；</w:t>
      </w:r>
    </w:p>
    <w:p w14:paraId="6CCBBB63">
      <w:pPr>
        <w:spacing w:line="560" w:lineRule="exact"/>
        <w:ind w:left="420" w:leftChars="200" w:firstLine="300" w:firstLineChars="100"/>
        <w:rPr>
          <w:rFonts w:ascii="仿宋_GB2312" w:hAnsi="Times New Roman" w:eastAsia="仿宋_GB2312"/>
          <w:sz w:val="30"/>
          <w:szCs w:val="30"/>
        </w:rPr>
      </w:pPr>
      <w:r>
        <w:rPr>
          <w:rFonts w:ascii="仿宋_GB2312" w:hAnsi="Times New Roman" w:eastAsia="仿宋_GB2312"/>
          <w:sz w:val="30"/>
          <w:szCs w:val="30"/>
        </w:rPr>
        <w:t>4.理论成果：</w:t>
      </w:r>
    </w:p>
    <w:p w14:paraId="2F9645F8">
      <w:pPr>
        <w:spacing w:line="560" w:lineRule="exact"/>
        <w:ind w:left="420" w:leftChars="200" w:firstLine="300" w:firstLineChars="100"/>
        <w:rPr>
          <w:rFonts w:ascii="仿宋_GB2312" w:hAnsi="Times New Roman" w:eastAsia="仿宋_GB2312"/>
          <w:sz w:val="30"/>
          <w:szCs w:val="30"/>
        </w:rPr>
      </w:pPr>
      <w:r>
        <w:rPr>
          <w:rFonts w:hint="eastAsia" w:ascii="仿宋_GB2312" w:hAnsi="Times New Roman" w:eastAsia="仿宋_GB2312"/>
          <w:sz w:val="30"/>
          <w:szCs w:val="30"/>
        </w:rPr>
        <w:t>（</w:t>
      </w:r>
      <w:r>
        <w:rPr>
          <w:rFonts w:ascii="仿宋_GB2312" w:hAnsi="Times New Roman" w:eastAsia="仿宋_GB2312"/>
          <w:sz w:val="30"/>
          <w:szCs w:val="30"/>
        </w:rPr>
        <w:t>1）多工况、单/双头部联焰干涉条件下氢氨旋流火焰熄火机理、熄火极限变化规律；</w:t>
      </w:r>
    </w:p>
    <w:p w14:paraId="612A0E21">
      <w:pPr>
        <w:spacing w:line="560" w:lineRule="exact"/>
        <w:ind w:left="420" w:leftChars="200" w:firstLine="300" w:firstLineChars="100"/>
        <w:rPr>
          <w:rFonts w:ascii="仿宋_GB2312" w:hAnsi="Times New Roman" w:eastAsia="仿宋_GB2312"/>
          <w:sz w:val="30"/>
          <w:szCs w:val="30"/>
        </w:rPr>
      </w:pPr>
      <w:r>
        <w:rPr>
          <w:rFonts w:hint="eastAsia" w:ascii="仿宋_GB2312" w:hAnsi="Times New Roman" w:eastAsia="仿宋_GB2312"/>
          <w:sz w:val="30"/>
          <w:szCs w:val="30"/>
        </w:rPr>
        <w:t>（</w:t>
      </w:r>
      <w:r>
        <w:rPr>
          <w:rFonts w:ascii="仿宋_GB2312" w:hAnsi="Times New Roman" w:eastAsia="仿宋_GB2312"/>
          <w:sz w:val="30"/>
          <w:szCs w:val="30"/>
        </w:rPr>
        <w:t>2）经实验校验的氢氨熄火湍流燃烧数值模拟方法。</w:t>
      </w:r>
    </w:p>
    <w:p w14:paraId="602E1F7C">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研究周期：2</w:t>
      </w:r>
      <w:r>
        <w:rPr>
          <w:rFonts w:ascii="Times New Roman" w:hAnsi="Times New Roman" w:eastAsia="黑体" w:cs="Times New Roman"/>
          <w:sz w:val="30"/>
          <w:szCs w:val="30"/>
        </w:rPr>
        <w:t>4</w:t>
      </w:r>
      <w:r>
        <w:rPr>
          <w:rFonts w:hint="eastAsia" w:ascii="Times New Roman" w:hAnsi="Times New Roman" w:eastAsia="黑体" w:cs="Times New Roman"/>
          <w:sz w:val="30"/>
          <w:szCs w:val="30"/>
        </w:rPr>
        <w:t>个月</w:t>
      </w:r>
    </w:p>
    <w:p w14:paraId="23261953">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研究经费：8</w:t>
      </w:r>
      <w:r>
        <w:rPr>
          <w:rFonts w:ascii="Times New Roman" w:hAnsi="Times New Roman" w:eastAsia="黑体" w:cs="Times New Roman"/>
          <w:sz w:val="30"/>
          <w:szCs w:val="30"/>
        </w:rPr>
        <w:t>0</w:t>
      </w:r>
      <w:r>
        <w:rPr>
          <w:rFonts w:hint="eastAsia" w:ascii="Times New Roman" w:hAnsi="Times New Roman" w:eastAsia="黑体" w:cs="Times New Roman"/>
          <w:sz w:val="30"/>
          <w:szCs w:val="30"/>
        </w:rPr>
        <w:t>万元</w:t>
      </w:r>
    </w:p>
    <w:p w14:paraId="714E369B">
      <w:pPr>
        <w:ind w:firstLine="600" w:firstLineChars="200"/>
        <w:rPr>
          <w:rFonts w:ascii="Times New Roman" w:hAnsi="Times New Roman" w:eastAsia="黑体" w:cs="Times New Roman"/>
          <w:sz w:val="30"/>
          <w:szCs w:val="30"/>
        </w:rPr>
      </w:pPr>
    </w:p>
    <w:p w14:paraId="7EE19C79">
      <w:pPr>
        <w:widowControl/>
        <w:jc w:val="left"/>
        <w:rPr>
          <w:rFonts w:ascii="Times New Roman" w:hAnsi="Times New Roman" w:eastAsia="黑体" w:cs="Times New Roman"/>
          <w:sz w:val="30"/>
          <w:szCs w:val="30"/>
        </w:rPr>
      </w:pPr>
      <w:r>
        <w:rPr>
          <w:rFonts w:ascii="Times New Roman" w:hAnsi="Times New Roman" w:eastAsia="黑体" w:cs="Times New Roman"/>
          <w:sz w:val="30"/>
          <w:szCs w:val="30"/>
        </w:rPr>
        <w:br w:type="page"/>
      </w:r>
    </w:p>
    <w:p w14:paraId="310E4DB9">
      <w:pPr>
        <w:ind w:firstLine="600" w:firstLineChars="200"/>
        <w:outlineLvl w:val="1"/>
        <w:rPr>
          <w:rFonts w:ascii="Times New Roman" w:hAnsi="Times New Roman" w:eastAsia="黑体" w:cs="Times New Roman"/>
          <w:sz w:val="30"/>
          <w:szCs w:val="30"/>
        </w:rPr>
      </w:pPr>
      <w:r>
        <w:rPr>
          <w:rFonts w:hint="eastAsia" w:ascii="Times New Roman" w:hAnsi="Times New Roman" w:eastAsia="黑体" w:cs="Times New Roman"/>
          <w:sz w:val="30"/>
          <w:szCs w:val="30"/>
        </w:rPr>
        <w:t>1</w:t>
      </w:r>
      <w:r>
        <w:rPr>
          <w:rFonts w:ascii="Times New Roman" w:hAnsi="Times New Roman" w:eastAsia="黑体" w:cs="Times New Roman"/>
          <w:sz w:val="30"/>
          <w:szCs w:val="30"/>
        </w:rPr>
        <w:t>1.</w:t>
      </w:r>
      <w:r>
        <w:rPr>
          <w:rFonts w:hint="eastAsia" w:ascii="Times New Roman" w:hAnsi="Times New Roman" w:eastAsia="黑体" w:cs="Times New Roman"/>
          <w:sz w:val="30"/>
          <w:szCs w:val="30"/>
        </w:rPr>
        <w:t>基于</w:t>
      </w:r>
      <w:r>
        <w:rPr>
          <w:rFonts w:ascii="Times New Roman" w:hAnsi="Times New Roman" w:eastAsia="黑体" w:cs="Times New Roman"/>
          <w:sz w:val="30"/>
          <w:szCs w:val="30"/>
        </w:rPr>
        <w:t>AI模型的燃烧室燃料分级调控技术研究</w:t>
      </w:r>
    </w:p>
    <w:p w14:paraId="1CDDA6C6">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指南编号：2</w:t>
      </w:r>
      <w:r>
        <w:rPr>
          <w:rFonts w:ascii="Times New Roman" w:hAnsi="Times New Roman" w:eastAsia="黑体" w:cs="Times New Roman"/>
          <w:sz w:val="30"/>
          <w:szCs w:val="30"/>
        </w:rPr>
        <w:t>026-</w:t>
      </w:r>
      <w:r>
        <w:rPr>
          <w:rFonts w:hint="eastAsia" w:ascii="Times New Roman" w:hAnsi="Times New Roman" w:eastAsia="黑体" w:cs="Times New Roman"/>
          <w:sz w:val="30"/>
          <w:szCs w:val="30"/>
        </w:rPr>
        <w:t>KF01-011</w:t>
      </w:r>
    </w:p>
    <w:p w14:paraId="01511523">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研究目标：</w:t>
      </w:r>
      <w:r>
        <w:rPr>
          <w:rFonts w:hint="eastAsia" w:ascii="仿宋_GB2312" w:hAnsi="Times New Roman" w:eastAsia="仿宋_GB2312"/>
          <w:sz w:val="30"/>
          <w:szCs w:val="30"/>
        </w:rPr>
        <w:t>本项目面向燃烧室燃料自动调控需求，以AI模型为核心驱动，旨在克服依赖人员经验进行操作的困局，研究目标如下：2027年6月前，完成燃料调控系统框架搭建。建立多模态信息融合的调控决策模型，完成系统总体架构设计与部署。2027年12月前，针对回火、超温、热声振荡等问题，建立燃烧异常状态预警与安全规避机制。2028年6月前，完成系统集成验证。实现流量跟随、当量比跟随、工况精调及安全规避等功能。</w:t>
      </w:r>
    </w:p>
    <w:p w14:paraId="42886237">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研究要求：</w:t>
      </w:r>
    </w:p>
    <w:p w14:paraId="2C9235EE">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1. 系统仿真建模</w:t>
      </w:r>
    </w:p>
    <w:p w14:paraId="664A94DD">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构建涵盖燃料管路流动特性、阀门调节特性及燃烧热力学特性的仿真模型。通过仿真获取阀门调节对燃料流量、空气流量、空气压力等稳态参数之间的映射关系，为后续模型训练提供数据。</w:t>
      </w:r>
    </w:p>
    <w:p w14:paraId="01286307">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2. AI调控策略与模型构建</w:t>
      </w:r>
    </w:p>
    <w:p w14:paraId="28FC03FC">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建立多模态信息融合的工况智能识别模型，实现燃烧状态的精准感知；捕捉时序数据特征的信号变化，实现异常状态的预警</w:t>
      </w:r>
      <w:r>
        <w:rPr>
          <w:rFonts w:hint="eastAsia" w:ascii="仿宋_GB2312" w:hAnsi="Times New Roman" w:eastAsia="仿宋_GB2312"/>
          <w:sz w:val="30"/>
          <w:szCs w:val="30"/>
        </w:rPr>
        <w:t>与自动退出</w:t>
      </w:r>
      <w:r>
        <w:rPr>
          <w:rFonts w:ascii="仿宋_GB2312" w:hAnsi="Times New Roman" w:eastAsia="仿宋_GB2312"/>
          <w:sz w:val="30"/>
          <w:szCs w:val="30"/>
        </w:rPr>
        <w:t>；构建调控决策模型，实现从“状态感知—异常预警—决策生成—指令执行”的全链路自动化。</w:t>
      </w:r>
    </w:p>
    <w:p w14:paraId="094DB5B4">
      <w:pPr>
        <w:spacing w:line="560" w:lineRule="exact"/>
        <w:ind w:firstLine="600" w:firstLineChars="200"/>
        <w:rPr>
          <w:rFonts w:ascii="仿宋_GB2312" w:hAnsi="Times New Roman" w:eastAsia="仿宋_GB2312"/>
          <w:sz w:val="30"/>
          <w:szCs w:val="30"/>
        </w:rPr>
      </w:pPr>
      <w:r>
        <w:rPr>
          <w:rFonts w:hint="eastAsia" w:ascii="仿宋_GB2312" w:hAnsi="Times New Roman" w:eastAsia="仿宋_GB2312"/>
          <w:sz w:val="30"/>
          <w:szCs w:val="30"/>
        </w:rPr>
        <w:t>3. 模型试验验证</w:t>
      </w:r>
    </w:p>
    <w:p w14:paraId="4A0493B0">
      <w:pPr>
        <w:spacing w:line="560" w:lineRule="exact"/>
        <w:ind w:firstLine="600" w:firstLineChars="200"/>
        <w:rPr>
          <w:rFonts w:ascii="Times New Roman" w:hAnsi="Times New Roman" w:eastAsia="黑体" w:cs="Times New Roman"/>
          <w:sz w:val="30"/>
          <w:szCs w:val="30"/>
        </w:rPr>
      </w:pPr>
      <w:r>
        <w:rPr>
          <w:rFonts w:hint="eastAsia" w:ascii="仿宋_GB2312" w:hAnsi="Times New Roman" w:eastAsia="仿宋_GB2312"/>
          <w:sz w:val="30"/>
          <w:szCs w:val="30"/>
        </w:rPr>
        <w:t>基于模型燃烧室开展考核试验，评估模型在调控精度、响应速度、安全可靠性等维度的性能表现。通过“仿真训练—试验验证—模型迭代”的闭环优化，最终形成可用的燃料分级智能调控原型系统。</w:t>
      </w:r>
    </w:p>
    <w:p w14:paraId="1C6F5487">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研究成果及交付物</w:t>
      </w:r>
    </w:p>
    <w:p w14:paraId="3E5B2EF6">
      <w:pPr>
        <w:spacing w:line="560" w:lineRule="exact"/>
        <w:ind w:firstLine="560"/>
        <w:rPr>
          <w:rFonts w:ascii="仿宋_GB2312" w:hAnsi="Times New Roman" w:eastAsia="仿宋_GB2312"/>
          <w:sz w:val="30"/>
          <w:szCs w:val="30"/>
        </w:rPr>
      </w:pPr>
      <w:r>
        <w:rPr>
          <w:rFonts w:hint="eastAsia" w:ascii="仿宋_GB2312" w:hAnsi="Times New Roman" w:eastAsia="仿宋_GB2312"/>
          <w:sz w:val="30"/>
          <w:szCs w:val="30"/>
        </w:rPr>
        <w:t>1</w:t>
      </w:r>
      <w:r>
        <w:rPr>
          <w:rFonts w:ascii="仿宋_GB2312" w:hAnsi="Times New Roman" w:eastAsia="仿宋_GB2312"/>
          <w:sz w:val="30"/>
          <w:szCs w:val="30"/>
        </w:rPr>
        <w:t>.</w:t>
      </w:r>
      <w:r>
        <w:rPr>
          <w:rFonts w:hint="eastAsia" w:ascii="仿宋_GB2312" w:hAnsi="Times New Roman" w:eastAsia="仿宋_GB2312"/>
          <w:sz w:val="30"/>
          <w:szCs w:val="30"/>
        </w:rPr>
        <w:t>控制系统源代码及AI模型运行设备；</w:t>
      </w:r>
    </w:p>
    <w:p w14:paraId="3A459E60">
      <w:pPr>
        <w:spacing w:line="560" w:lineRule="exact"/>
        <w:ind w:firstLine="560"/>
        <w:rPr>
          <w:rFonts w:ascii="仿宋_GB2312" w:hAnsi="Times New Roman" w:eastAsia="仿宋_GB2312"/>
          <w:sz w:val="30"/>
          <w:szCs w:val="30"/>
        </w:rPr>
      </w:pPr>
      <w:r>
        <w:rPr>
          <w:rFonts w:ascii="仿宋_GB2312" w:hAnsi="Times New Roman" w:eastAsia="仿宋_GB2312"/>
          <w:sz w:val="30"/>
          <w:szCs w:val="30"/>
        </w:rPr>
        <w:t>2.</w:t>
      </w:r>
      <w:r>
        <w:rPr>
          <w:rFonts w:hint="eastAsia" w:ascii="仿宋_GB2312" w:hAnsi="Times New Roman" w:eastAsia="仿宋_GB2312"/>
          <w:sz w:val="30"/>
          <w:szCs w:val="30"/>
        </w:rPr>
        <w:t>报告，如系统仿真报告、控制策略研究报告、试验验证报告等；</w:t>
      </w:r>
    </w:p>
    <w:p w14:paraId="04F05893">
      <w:pPr>
        <w:spacing w:line="560" w:lineRule="exact"/>
        <w:ind w:firstLine="560"/>
        <w:rPr>
          <w:rFonts w:ascii="仿宋_GB2312" w:hAnsi="Times New Roman" w:eastAsia="仿宋_GB2312"/>
          <w:sz w:val="30"/>
          <w:szCs w:val="30"/>
        </w:rPr>
      </w:pPr>
      <w:r>
        <w:rPr>
          <w:rFonts w:hint="eastAsia" w:ascii="仿宋_GB2312" w:hAnsi="Times New Roman" w:eastAsia="仿宋_GB2312"/>
          <w:sz w:val="30"/>
          <w:szCs w:val="30"/>
        </w:rPr>
        <w:t>3</w:t>
      </w:r>
      <w:r>
        <w:rPr>
          <w:rFonts w:ascii="仿宋_GB2312" w:hAnsi="Times New Roman" w:eastAsia="仿宋_GB2312"/>
          <w:sz w:val="30"/>
          <w:szCs w:val="30"/>
        </w:rPr>
        <w:t>.</w:t>
      </w:r>
      <w:r>
        <w:rPr>
          <w:rFonts w:hint="eastAsia" w:ascii="仿宋_GB2312" w:hAnsi="Times New Roman" w:eastAsia="仿宋_GB2312"/>
          <w:sz w:val="30"/>
          <w:szCs w:val="30"/>
        </w:rPr>
        <w:t>专利2项，软著1项。</w:t>
      </w:r>
    </w:p>
    <w:p w14:paraId="1CB38B41">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考核指标：</w:t>
      </w:r>
    </w:p>
    <w:p w14:paraId="304A79BD">
      <w:pPr>
        <w:spacing w:line="560" w:lineRule="exact"/>
        <w:ind w:firstLine="560"/>
        <w:rPr>
          <w:rFonts w:ascii="仿宋_GB2312" w:hAnsi="Times New Roman" w:eastAsia="仿宋_GB2312"/>
          <w:sz w:val="30"/>
          <w:szCs w:val="30"/>
        </w:rPr>
      </w:pPr>
      <w:r>
        <w:rPr>
          <w:rFonts w:hint="eastAsia" w:ascii="仿宋_GB2312" w:hAnsi="Times New Roman" w:eastAsia="仿宋_GB2312"/>
          <w:sz w:val="30"/>
          <w:szCs w:val="30"/>
        </w:rPr>
        <w:t>1.燃料流量控制精度：多路燃料阀门协同调节下，单路燃料流量控制误差不大于1%。</w:t>
      </w:r>
    </w:p>
    <w:p w14:paraId="43F50E21">
      <w:pPr>
        <w:spacing w:line="560" w:lineRule="exact"/>
        <w:ind w:firstLine="600" w:firstLineChars="200"/>
        <w:rPr>
          <w:rFonts w:ascii="仿宋_GB2312" w:hAnsi="Times New Roman" w:eastAsia="仿宋_GB2312"/>
          <w:sz w:val="30"/>
          <w:szCs w:val="30"/>
        </w:rPr>
      </w:pPr>
      <w:r>
        <w:rPr>
          <w:rFonts w:ascii="仿宋_GB2312" w:hAnsi="Times New Roman" w:eastAsia="仿宋_GB2312"/>
          <w:sz w:val="30"/>
          <w:szCs w:val="30"/>
        </w:rPr>
        <w:t>2.</w:t>
      </w:r>
      <w:r>
        <w:rPr>
          <w:rFonts w:hint="eastAsia" w:ascii="仿宋_GB2312" w:hAnsi="Times New Roman" w:eastAsia="仿宋_GB2312"/>
          <w:sz w:val="30"/>
          <w:szCs w:val="30"/>
        </w:rPr>
        <w:t>异常状态识别与退出成功率：对回火、超温、热声振荡等典型异常工况的自主安全退出成功率不低于90%。</w:t>
      </w:r>
    </w:p>
    <w:p w14:paraId="75C738ED">
      <w:pPr>
        <w:ind w:firstLine="600" w:firstLineChars="200"/>
        <w:rPr>
          <w:rFonts w:ascii="Times New Roman" w:hAnsi="Times New Roman" w:eastAsia="黑体" w:cs="Times New Roman"/>
          <w:sz w:val="30"/>
          <w:szCs w:val="30"/>
        </w:rPr>
      </w:pPr>
      <w:r>
        <w:rPr>
          <w:rFonts w:hint="eastAsia" w:ascii="仿宋_GB2312" w:hAnsi="Times New Roman" w:eastAsia="仿宋_GB2312"/>
          <w:sz w:val="30"/>
          <w:szCs w:val="30"/>
        </w:rPr>
        <w:t>3</w:t>
      </w:r>
      <w:r>
        <w:rPr>
          <w:rFonts w:ascii="仿宋_GB2312" w:hAnsi="Times New Roman" w:eastAsia="仿宋_GB2312"/>
          <w:sz w:val="30"/>
          <w:szCs w:val="30"/>
        </w:rPr>
        <w:t>.</w:t>
      </w:r>
      <w:r>
        <w:rPr>
          <w:rFonts w:hint="eastAsia" w:ascii="仿宋_GB2312" w:hAnsi="Times New Roman" w:eastAsia="仿宋_GB2312"/>
          <w:sz w:val="30"/>
          <w:szCs w:val="30"/>
        </w:rPr>
        <w:t>异常状态自动退出时间：较传统手动接管退出时间，缩短不少于100ms。</w:t>
      </w:r>
    </w:p>
    <w:p w14:paraId="7B33825C">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研究周期：2</w:t>
      </w:r>
      <w:r>
        <w:rPr>
          <w:rFonts w:ascii="Times New Roman" w:hAnsi="Times New Roman" w:eastAsia="黑体" w:cs="Times New Roman"/>
          <w:sz w:val="30"/>
          <w:szCs w:val="30"/>
        </w:rPr>
        <w:t>4</w:t>
      </w:r>
      <w:r>
        <w:rPr>
          <w:rFonts w:hint="eastAsia" w:ascii="Times New Roman" w:hAnsi="Times New Roman" w:eastAsia="黑体" w:cs="Times New Roman"/>
          <w:sz w:val="30"/>
          <w:szCs w:val="30"/>
        </w:rPr>
        <w:t>个月</w:t>
      </w:r>
    </w:p>
    <w:p w14:paraId="274A970E">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研究经费：3</w:t>
      </w:r>
      <w:r>
        <w:rPr>
          <w:rFonts w:ascii="Times New Roman" w:hAnsi="Times New Roman" w:eastAsia="黑体" w:cs="Times New Roman"/>
          <w:sz w:val="30"/>
          <w:szCs w:val="30"/>
        </w:rPr>
        <w:t>0</w:t>
      </w:r>
      <w:r>
        <w:rPr>
          <w:rFonts w:hint="eastAsia" w:ascii="Times New Roman" w:hAnsi="Times New Roman" w:eastAsia="黑体" w:cs="Times New Roman"/>
          <w:sz w:val="30"/>
          <w:szCs w:val="30"/>
        </w:rPr>
        <w:t>万元</w:t>
      </w:r>
    </w:p>
    <w:p w14:paraId="41244933">
      <w:pPr>
        <w:ind w:firstLine="600" w:firstLineChars="200"/>
        <w:rPr>
          <w:rFonts w:ascii="Times New Roman" w:hAnsi="Times New Roman" w:eastAsia="黑体" w:cs="Times New Roman"/>
          <w:sz w:val="30"/>
          <w:szCs w:val="3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0330928"/>
      <w:docPartObj>
        <w:docPartGallery w:val="autotext"/>
      </w:docPartObj>
    </w:sdtPr>
    <w:sdtContent>
      <w:p w14:paraId="55DEBC4F">
        <w:pPr>
          <w:pStyle w:val="5"/>
          <w:jc w:val="center"/>
        </w:pPr>
        <w:r>
          <w:fldChar w:fldCharType="begin"/>
        </w:r>
        <w:r>
          <w:instrText xml:space="preserve">PAGE   \* MERGEFORMAT</w:instrText>
        </w:r>
        <w:r>
          <w:fldChar w:fldCharType="separate"/>
        </w:r>
        <w:r>
          <w:rPr>
            <w:lang w:val="zh-CN"/>
          </w:rPr>
          <w:t>21</w:t>
        </w:r>
        <w:r>
          <w:fldChar w:fldCharType="end"/>
        </w:r>
      </w:p>
    </w:sdtContent>
  </w:sdt>
  <w:p w14:paraId="36D4717A">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A25AC9"/>
    <w:multiLevelType w:val="multilevel"/>
    <w:tmpl w:val="0FA25AC9"/>
    <w:lvl w:ilvl="0" w:tentative="0">
      <w:start w:val="1"/>
      <w:numFmt w:val="decimal"/>
      <w:lvlText w:val="%1."/>
      <w:lvlJc w:val="left"/>
      <w:pPr>
        <w:ind w:left="980" w:hanging="4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212A71D5"/>
    <w:multiLevelType w:val="multilevel"/>
    <w:tmpl w:val="212A71D5"/>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infang">
    <w15:presenceInfo w15:providerId="None" w15:userId="xinf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FBB"/>
    <w:rsid w:val="00060D9B"/>
    <w:rsid w:val="00066779"/>
    <w:rsid w:val="000976CD"/>
    <w:rsid w:val="000A45BF"/>
    <w:rsid w:val="001C09B6"/>
    <w:rsid w:val="001C4FBB"/>
    <w:rsid w:val="001D28C6"/>
    <w:rsid w:val="002068AE"/>
    <w:rsid w:val="00210871"/>
    <w:rsid w:val="002239B1"/>
    <w:rsid w:val="00233BE3"/>
    <w:rsid w:val="002548E9"/>
    <w:rsid w:val="002633D0"/>
    <w:rsid w:val="002D367C"/>
    <w:rsid w:val="002D55FE"/>
    <w:rsid w:val="002D7884"/>
    <w:rsid w:val="002F35F4"/>
    <w:rsid w:val="00370E8E"/>
    <w:rsid w:val="00382B79"/>
    <w:rsid w:val="00395ADB"/>
    <w:rsid w:val="003F7C61"/>
    <w:rsid w:val="0043797F"/>
    <w:rsid w:val="004634D2"/>
    <w:rsid w:val="00497C85"/>
    <w:rsid w:val="00591698"/>
    <w:rsid w:val="005A0E47"/>
    <w:rsid w:val="005B75A2"/>
    <w:rsid w:val="005F69CE"/>
    <w:rsid w:val="006E58B0"/>
    <w:rsid w:val="00754035"/>
    <w:rsid w:val="00775637"/>
    <w:rsid w:val="007C2D07"/>
    <w:rsid w:val="007F3AA8"/>
    <w:rsid w:val="007F6D7C"/>
    <w:rsid w:val="007F7B32"/>
    <w:rsid w:val="00813C94"/>
    <w:rsid w:val="00826A8E"/>
    <w:rsid w:val="008359EA"/>
    <w:rsid w:val="0086635B"/>
    <w:rsid w:val="00886BCD"/>
    <w:rsid w:val="008B74F9"/>
    <w:rsid w:val="008E46A8"/>
    <w:rsid w:val="00944FA0"/>
    <w:rsid w:val="009B6D8F"/>
    <w:rsid w:val="00A75B55"/>
    <w:rsid w:val="00A81747"/>
    <w:rsid w:val="00A83656"/>
    <w:rsid w:val="00AA6197"/>
    <w:rsid w:val="00B230CD"/>
    <w:rsid w:val="00B32A26"/>
    <w:rsid w:val="00CB5D52"/>
    <w:rsid w:val="00CC7BCC"/>
    <w:rsid w:val="00CF451B"/>
    <w:rsid w:val="00D60C8E"/>
    <w:rsid w:val="00D735FE"/>
    <w:rsid w:val="00DC2B08"/>
    <w:rsid w:val="00E24B5A"/>
    <w:rsid w:val="00E40568"/>
    <w:rsid w:val="00E4723F"/>
    <w:rsid w:val="00EB4AE1"/>
    <w:rsid w:val="00EC6986"/>
    <w:rsid w:val="00FC668E"/>
    <w:rsid w:val="42B36ADD"/>
    <w:rsid w:val="7C7155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8"/>
    <w:semiHidden/>
    <w:unhideWhenUsed/>
    <w:uiPriority w:val="99"/>
    <w:pPr>
      <w:jc w:val="left"/>
    </w:pPr>
  </w:style>
  <w:style w:type="paragraph" w:styleId="4">
    <w:name w:val="Balloon Text"/>
    <w:basedOn w:val="1"/>
    <w:link w:val="17"/>
    <w:semiHidden/>
    <w:unhideWhenUsed/>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9"/>
    <w:semiHidden/>
    <w:unhideWhenUsed/>
    <w:uiPriority w:val="99"/>
    <w:rPr>
      <w:b/>
      <w:bCs/>
    </w:rPr>
  </w:style>
  <w:style w:type="character" w:styleId="10">
    <w:name w:val="annotation reference"/>
    <w:basedOn w:val="9"/>
    <w:semiHidden/>
    <w:unhideWhenUsed/>
    <w:uiPriority w:val="99"/>
    <w:rPr>
      <w:sz w:val="21"/>
      <w:szCs w:val="21"/>
    </w:rPr>
  </w:style>
  <w:style w:type="character" w:customStyle="1" w:styleId="11">
    <w:name w:val="标题 2 字符"/>
    <w:basedOn w:val="9"/>
    <w:link w:val="2"/>
    <w:semiHidden/>
    <w:uiPriority w:val="9"/>
    <w:rPr>
      <w:rFonts w:asciiTheme="majorHAnsi" w:hAnsiTheme="majorHAnsi" w:eastAsiaTheme="majorEastAsia" w:cstheme="majorBidi"/>
      <w:b/>
      <w:bCs/>
      <w:sz w:val="32"/>
      <w:szCs w:val="32"/>
    </w:rPr>
  </w:style>
  <w:style w:type="character" w:customStyle="1" w:styleId="12">
    <w:name w:val="页眉 字符"/>
    <w:basedOn w:val="9"/>
    <w:link w:val="6"/>
    <w:uiPriority w:val="99"/>
    <w:rPr>
      <w:sz w:val="18"/>
      <w:szCs w:val="18"/>
    </w:rPr>
  </w:style>
  <w:style w:type="character" w:customStyle="1" w:styleId="13">
    <w:name w:val="页脚 字符"/>
    <w:basedOn w:val="9"/>
    <w:link w:val="5"/>
    <w:qFormat/>
    <w:uiPriority w:val="99"/>
    <w:rPr>
      <w:sz w:val="18"/>
      <w:szCs w:val="18"/>
    </w:rPr>
  </w:style>
  <w:style w:type="paragraph" w:styleId="14">
    <w:name w:val="List Paragraph"/>
    <w:basedOn w:val="1"/>
    <w:qFormat/>
    <w:uiPriority w:val="99"/>
    <w:pPr>
      <w:ind w:firstLine="420" w:firstLineChars="200"/>
    </w:pPr>
  </w:style>
  <w:style w:type="paragraph" w:customStyle="1" w:styleId="15">
    <w:name w:val="正文1"/>
    <w:qFormat/>
    <w:uiPriority w:val="0"/>
    <w:pPr>
      <w:spacing w:line="560" w:lineRule="exact"/>
      <w:ind w:firstLine="800" w:firstLineChars="200"/>
      <w:jc w:val="both"/>
    </w:pPr>
    <w:rPr>
      <w:rFonts w:ascii="Times New Roman" w:hAnsi="Times New Roman" w:eastAsia="仿宋_GB2312" w:cs="Times New Roman"/>
      <w:kern w:val="0"/>
      <w:sz w:val="28"/>
      <w:szCs w:val="20"/>
      <w:lang w:val="en-US" w:eastAsia="zh-CN" w:bidi="ar-SA"/>
    </w:rPr>
  </w:style>
  <w:style w:type="paragraph" w:customStyle="1" w:styleId="16">
    <w:name w:val="ds-markdown-paragraph"/>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7">
    <w:name w:val="批注框文本 字符"/>
    <w:basedOn w:val="9"/>
    <w:link w:val="4"/>
    <w:semiHidden/>
    <w:uiPriority w:val="99"/>
    <w:rPr>
      <w:sz w:val="18"/>
      <w:szCs w:val="18"/>
    </w:rPr>
  </w:style>
  <w:style w:type="character" w:customStyle="1" w:styleId="18">
    <w:name w:val="批注文字 字符"/>
    <w:basedOn w:val="9"/>
    <w:link w:val="3"/>
    <w:semiHidden/>
    <w:uiPriority w:val="99"/>
  </w:style>
  <w:style w:type="character" w:customStyle="1" w:styleId="19">
    <w:name w:val="批注主题 字符"/>
    <w:basedOn w:val="18"/>
    <w:link w:val="7"/>
    <w:semiHidden/>
    <w:uiPriority w:val="99"/>
    <w:rPr>
      <w:b/>
      <w:bCs/>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8412</Words>
  <Characters>9023</Characters>
  <Lines>66</Lines>
  <Paragraphs>18</Paragraphs>
  <TotalTime>44</TotalTime>
  <ScaleCrop>false</ScaleCrop>
  <LinksUpToDate>false</LinksUpToDate>
  <CharactersWithSpaces>9057</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2026-08-12T02:16:00Z</dcterms:created>
  <dc:creator>lenovo</dc:creator>
  <cp:lastModifiedBy>xinfang</cp:lastModifiedBy>
  <cp:lastPrinted>2026-08-12T02:25:00Z</cp:lastPrinted>
  <dcterms:modified xsi:type="dcterms:W3CDTF">2026-08-12T11:42:43Z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eyJoZGlkIjoiNWVkMWYwMWM3MWMyZTcxYTU0ODQ1ZGNjMDFkZTIwOTIiLCJ1c2VySWQiOiI4ODY0MjM2MDgifQ==</vt:lpwstr>
  </property>
  <property fmtid="{D5CDD505-2E9C-101B-9397-08002B2CF9AE}" pid="3" name="KSOProductBuildVer">
    <vt:lpwstr>2052-12.8.2.18913</vt:lpwstr>
  </property>
  <property fmtid="{D5CDD505-2E9C-101B-9397-08002B2CF9AE}" pid="4" name="ICV">
    <vt:lpwstr>DCC247407AB844B0A108F28F89285F91_12</vt:lpwstr>
  </property>
</Properties>
</file>